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0A5EC" w14:textId="77777777" w:rsidR="00801539" w:rsidRPr="00FE708B" w:rsidRDefault="007363C0" w:rsidP="00E97F99">
      <w:pPr>
        <w:spacing w:before="120" w:after="120" w:line="360" w:lineRule="auto"/>
        <w:rPr>
          <w:rFonts w:cstheme="minorHAnsi"/>
          <w:i/>
          <w:sz w:val="24"/>
          <w:szCs w:val="24"/>
        </w:rPr>
      </w:pPr>
      <w:r w:rsidRPr="00FE708B">
        <w:rPr>
          <w:noProof/>
          <w:lang w:eastAsia="pl-PL"/>
        </w:rPr>
        <w:drawing>
          <wp:inline distT="0" distB="0" distL="0" distR="0" wp14:anchorId="719CDB5A" wp14:editId="299811F8">
            <wp:extent cx="5760720" cy="626110"/>
            <wp:effectExtent l="0" t="0" r="0" b="2540"/>
            <wp:docPr id="3" name="Obraz 3" descr="W nagłówku znajdują się logotypy wraz z ich nazwami, odpowiednio: Fundusze Europejskie (Wiedza Edukacja Rozwój), Rzeczpospolita Polska, PARP (Grupa PFR), Unia Europejska (Europejski Fundusz Społeczny)." title="Nagłó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W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626110"/>
                    </a:xfrm>
                    <a:prstGeom prst="rect">
                      <a:avLst/>
                    </a:prstGeom>
                  </pic:spPr>
                </pic:pic>
              </a:graphicData>
            </a:graphic>
          </wp:inline>
        </w:drawing>
      </w:r>
    </w:p>
    <w:p w14:paraId="0CBA147F" w14:textId="77777777" w:rsidR="00801539" w:rsidRPr="00FE708B" w:rsidRDefault="00801539" w:rsidP="00E97F99">
      <w:pPr>
        <w:spacing w:before="120" w:after="120" w:line="360" w:lineRule="auto"/>
        <w:rPr>
          <w:rFonts w:cstheme="minorHAnsi"/>
          <w:i/>
          <w:sz w:val="24"/>
          <w:szCs w:val="24"/>
        </w:rPr>
      </w:pPr>
    </w:p>
    <w:p w14:paraId="59B103BB" w14:textId="77777777" w:rsidR="00801539" w:rsidRPr="00FE708B" w:rsidRDefault="00801539" w:rsidP="00E97F99">
      <w:pPr>
        <w:spacing w:before="120" w:after="120" w:line="360" w:lineRule="auto"/>
        <w:rPr>
          <w:rFonts w:cstheme="minorHAnsi"/>
          <w:sz w:val="24"/>
          <w:szCs w:val="24"/>
        </w:rPr>
      </w:pPr>
    </w:p>
    <w:p w14:paraId="76E91497" w14:textId="77777777" w:rsidR="0007079C" w:rsidRPr="00FE708B" w:rsidRDefault="007A6D5D" w:rsidP="00F96951">
      <w:pPr>
        <w:pStyle w:val="N1"/>
        <w:numPr>
          <w:ilvl w:val="0"/>
          <w:numId w:val="0"/>
        </w:numPr>
        <w:ind w:left="360" w:hanging="360"/>
      </w:pPr>
      <w:r w:rsidRPr="00FE708B">
        <w:t>OPIS PRZEDMIOTU ZAMOWIENIA</w:t>
      </w:r>
    </w:p>
    <w:p w14:paraId="66C7E821" w14:textId="77777777" w:rsidR="00622D03" w:rsidRPr="00FE708B" w:rsidRDefault="00622D03" w:rsidP="005545F1">
      <w:pPr>
        <w:spacing w:before="120" w:after="120" w:line="360" w:lineRule="auto"/>
        <w:rPr>
          <w:rFonts w:cstheme="minorHAnsi"/>
          <w:b/>
          <w:sz w:val="30"/>
          <w:szCs w:val="30"/>
        </w:rPr>
      </w:pPr>
    </w:p>
    <w:p w14:paraId="1E211CD2" w14:textId="77777777" w:rsidR="00622D03" w:rsidRPr="00FE708B" w:rsidRDefault="00622D03" w:rsidP="005545F1">
      <w:pPr>
        <w:spacing w:before="120" w:after="120" w:line="360" w:lineRule="auto"/>
        <w:rPr>
          <w:rFonts w:cstheme="minorHAnsi"/>
          <w:b/>
          <w:sz w:val="30"/>
          <w:szCs w:val="30"/>
        </w:rPr>
      </w:pPr>
      <w:r w:rsidRPr="00FE708B">
        <w:rPr>
          <w:rFonts w:cstheme="minorHAnsi"/>
          <w:b/>
          <w:sz w:val="30"/>
          <w:szCs w:val="30"/>
        </w:rPr>
        <w:t xml:space="preserve">Badanie ewaluacyjne pn. </w:t>
      </w:r>
    </w:p>
    <w:p w14:paraId="775B6E2A" w14:textId="77777777" w:rsidR="00622D03" w:rsidRPr="00FE708B" w:rsidRDefault="00622D03" w:rsidP="005545F1">
      <w:pPr>
        <w:spacing w:before="120" w:after="120" w:line="360" w:lineRule="auto"/>
        <w:rPr>
          <w:rFonts w:cstheme="minorHAnsi"/>
          <w:b/>
          <w:sz w:val="30"/>
          <w:szCs w:val="30"/>
        </w:rPr>
      </w:pPr>
      <w:r w:rsidRPr="00FE708B">
        <w:rPr>
          <w:rFonts w:cstheme="minorHAnsi"/>
          <w:b/>
          <w:sz w:val="30"/>
          <w:szCs w:val="30"/>
        </w:rPr>
        <w:t>„Wpływ Bazy Usług Rozwojowych na jakość i rynek usług rozwojowych oraz ocena Podmiotowych Systemów Finansowania – etap II”</w:t>
      </w:r>
    </w:p>
    <w:p w14:paraId="099E4536" w14:textId="77777777" w:rsidR="00801539" w:rsidRPr="00FE708B" w:rsidRDefault="00801539" w:rsidP="00E97F99">
      <w:pPr>
        <w:spacing w:before="120" w:after="120" w:line="360" w:lineRule="auto"/>
        <w:rPr>
          <w:rFonts w:cstheme="minorHAnsi"/>
          <w:sz w:val="24"/>
          <w:szCs w:val="24"/>
        </w:rPr>
      </w:pPr>
    </w:p>
    <w:p w14:paraId="17D1D727" w14:textId="77777777" w:rsidR="00801539" w:rsidRPr="00FE708B" w:rsidRDefault="00801539" w:rsidP="00E97F99">
      <w:pPr>
        <w:spacing w:before="120" w:after="120" w:line="360" w:lineRule="auto"/>
        <w:rPr>
          <w:rFonts w:cstheme="minorHAnsi"/>
          <w:sz w:val="24"/>
          <w:szCs w:val="24"/>
        </w:rPr>
      </w:pPr>
    </w:p>
    <w:p w14:paraId="68379EED" w14:textId="77777777" w:rsidR="001B56C4" w:rsidRPr="00FE708B" w:rsidRDefault="001B56C4">
      <w:pPr>
        <w:spacing w:after="160" w:line="259" w:lineRule="auto"/>
        <w:rPr>
          <w:rFonts w:cstheme="minorHAnsi"/>
          <w:sz w:val="24"/>
          <w:szCs w:val="24"/>
          <w:u w:val="single"/>
        </w:rPr>
      </w:pPr>
      <w:r w:rsidRPr="00FE708B">
        <w:rPr>
          <w:rFonts w:cstheme="minorHAnsi"/>
          <w:u w:val="single"/>
        </w:rPr>
        <w:br w:type="page"/>
      </w:r>
    </w:p>
    <w:p w14:paraId="38D8C6EF" w14:textId="3D213AD1" w:rsidR="00BE1538" w:rsidRPr="00FE708B" w:rsidRDefault="001B56C4" w:rsidP="00380CEE">
      <w:pPr>
        <w:pStyle w:val="Spistreci1"/>
        <w:tabs>
          <w:tab w:val="left" w:pos="440"/>
          <w:tab w:val="right" w:leader="dot" w:pos="9062"/>
        </w:tabs>
        <w:spacing w:line="360" w:lineRule="auto"/>
        <w:rPr>
          <w:rFonts w:eastAsiaTheme="minorEastAsia" w:cstheme="minorHAnsi"/>
          <w:noProof/>
          <w:lang w:val="en-GB" w:eastAsia="en-GB"/>
        </w:rPr>
      </w:pPr>
      <w:r w:rsidRPr="00FE708B">
        <w:rPr>
          <w:rFonts w:cstheme="minorHAnsi"/>
          <w:u w:val="single"/>
        </w:rPr>
        <w:lastRenderedPageBreak/>
        <w:fldChar w:fldCharType="begin"/>
      </w:r>
      <w:r w:rsidRPr="00FE708B">
        <w:rPr>
          <w:rFonts w:cstheme="minorHAnsi"/>
          <w:u w:val="single"/>
        </w:rPr>
        <w:instrText xml:space="preserve"> TOC \h \z \t "N1;1;N2;2;N3;3" </w:instrText>
      </w:r>
      <w:r w:rsidRPr="00FE708B">
        <w:rPr>
          <w:rFonts w:cstheme="minorHAnsi"/>
          <w:u w:val="single"/>
        </w:rPr>
        <w:fldChar w:fldCharType="separate"/>
      </w:r>
      <w:hyperlink w:anchor="_Toc8896921" w:history="1">
        <w:r w:rsidR="00BE1538" w:rsidRPr="00FE708B">
          <w:rPr>
            <w:rStyle w:val="Hipercze"/>
            <w:rFonts w:cstheme="minorHAnsi"/>
            <w:noProof/>
          </w:rPr>
          <w:t>1.</w:t>
        </w:r>
        <w:r w:rsidR="00BE1538" w:rsidRPr="00FE708B">
          <w:rPr>
            <w:rFonts w:eastAsiaTheme="minorEastAsia" w:cstheme="minorHAnsi"/>
            <w:noProof/>
            <w:lang w:val="en-GB" w:eastAsia="en-GB"/>
          </w:rPr>
          <w:tab/>
        </w:r>
        <w:r w:rsidR="00BE1538" w:rsidRPr="00FE708B">
          <w:rPr>
            <w:rStyle w:val="Hipercze"/>
            <w:rFonts w:cstheme="minorHAnsi"/>
            <w:noProof/>
          </w:rPr>
          <w:t>Kontekst badania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_Toc8896921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w:t>
        </w:r>
        <w:r w:rsidR="00BE1538" w:rsidRPr="00FE708B">
          <w:rPr>
            <w:rFonts w:cstheme="minorHAnsi"/>
            <w:noProof/>
            <w:webHidden/>
          </w:rPr>
          <w:fldChar w:fldCharType="end"/>
        </w:r>
      </w:hyperlink>
    </w:p>
    <w:p w14:paraId="6F549AAF" w14:textId="600062C0"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22" w:history="1">
        <w:r w:rsidR="00BE1538" w:rsidRPr="00FE708B">
          <w:rPr>
            <w:rStyle w:val="Hipercze"/>
            <w:rFonts w:cstheme="minorHAnsi"/>
            <w:noProof/>
          </w:rPr>
          <w:t>1.1.</w:t>
        </w:r>
        <w:r w:rsidR="00BE1538" w:rsidRPr="00FE708B">
          <w:rPr>
            <w:rFonts w:eastAsiaTheme="minorEastAsia" w:cstheme="minorHAnsi"/>
            <w:noProof/>
            <w:lang w:val="en-GB" w:eastAsia="en-GB"/>
          </w:rPr>
          <w:tab/>
        </w:r>
        <w:r w:rsidR="00BE1538" w:rsidRPr="00FE708B">
          <w:rPr>
            <w:rStyle w:val="Hipercze"/>
            <w:rFonts w:cstheme="minorHAnsi"/>
            <w:noProof/>
          </w:rPr>
          <w:t>Baza Usług Rozwojowych i Podmiotowy System Finansowania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_Toc8896922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w:t>
        </w:r>
        <w:r w:rsidR="00BE1538" w:rsidRPr="00FE708B">
          <w:rPr>
            <w:rFonts w:cstheme="minorHAnsi"/>
            <w:noProof/>
            <w:webHidden/>
          </w:rPr>
          <w:fldChar w:fldCharType="end"/>
        </w:r>
      </w:hyperlink>
    </w:p>
    <w:p w14:paraId="1BBF1FF1" w14:textId="12277166"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23" w:history="1">
        <w:r w:rsidR="00BE1538" w:rsidRPr="00FE708B">
          <w:rPr>
            <w:rStyle w:val="Hipercze"/>
            <w:rFonts w:cstheme="minorHAnsi"/>
            <w:noProof/>
          </w:rPr>
          <w:t>1.2.</w:t>
        </w:r>
        <w:r w:rsidR="00BE1538" w:rsidRPr="00FE708B">
          <w:rPr>
            <w:rFonts w:eastAsiaTheme="minorEastAsia" w:cstheme="minorHAnsi"/>
            <w:noProof/>
            <w:lang w:val="en-GB" w:eastAsia="en-GB"/>
          </w:rPr>
          <w:tab/>
        </w:r>
        <w:r w:rsidR="00BE1538" w:rsidRPr="00FE708B">
          <w:rPr>
            <w:rStyle w:val="Hipercze"/>
            <w:rFonts w:cstheme="minorHAnsi"/>
            <w:noProof/>
          </w:rPr>
          <w:t>Zasady działania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_Toc8896923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w:t>
        </w:r>
        <w:r w:rsidR="00BE1538" w:rsidRPr="00FE708B">
          <w:rPr>
            <w:rFonts w:cstheme="minorHAnsi"/>
            <w:noProof/>
            <w:webHidden/>
          </w:rPr>
          <w:fldChar w:fldCharType="end"/>
        </w:r>
      </w:hyperlink>
    </w:p>
    <w:p w14:paraId="0E39177A" w14:textId="36FA912B"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24" w:history="1">
        <w:r w:rsidR="00BE1538" w:rsidRPr="00FE708B">
          <w:rPr>
            <w:rStyle w:val="Hipercze"/>
            <w:rFonts w:cstheme="minorHAnsi"/>
            <w:noProof/>
          </w:rPr>
          <w:t>2.</w:t>
        </w:r>
        <w:r w:rsidR="00BE1538" w:rsidRPr="00FE708B">
          <w:rPr>
            <w:rFonts w:eastAsiaTheme="minorEastAsia" w:cstheme="minorHAnsi"/>
            <w:noProof/>
            <w:lang w:val="en-GB" w:eastAsia="en-GB"/>
          </w:rPr>
          <w:tab/>
        </w:r>
        <w:r w:rsidR="00BE1538" w:rsidRPr="00FE708B">
          <w:rPr>
            <w:rStyle w:val="Hipercze"/>
            <w:rFonts w:cstheme="minorHAnsi"/>
            <w:noProof/>
          </w:rPr>
          <w:t>Cele badania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_Toc8896924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7</w:t>
        </w:r>
        <w:r w:rsidR="00BE1538" w:rsidRPr="00FE708B">
          <w:rPr>
            <w:rFonts w:cstheme="minorHAnsi"/>
            <w:noProof/>
            <w:webHidden/>
          </w:rPr>
          <w:fldChar w:fldCharType="end"/>
        </w:r>
      </w:hyperlink>
    </w:p>
    <w:p w14:paraId="3F465C44" w14:textId="29DDECF8"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25" w:history="1">
        <w:r w:rsidR="00BE1538" w:rsidRPr="00FE708B">
          <w:rPr>
            <w:rStyle w:val="Hipercze"/>
            <w:rFonts w:cstheme="minorHAnsi"/>
            <w:noProof/>
          </w:rPr>
          <w:t>3.</w:t>
        </w:r>
        <w:r w:rsidR="00BE1538" w:rsidRPr="00FE708B">
          <w:rPr>
            <w:rFonts w:eastAsiaTheme="minorEastAsia" w:cstheme="minorHAnsi"/>
            <w:noProof/>
            <w:lang w:val="en-GB" w:eastAsia="en-GB"/>
          </w:rPr>
          <w:tab/>
        </w:r>
        <w:r w:rsidR="00BE1538" w:rsidRPr="00FE708B">
          <w:rPr>
            <w:rStyle w:val="Hipercze"/>
            <w:rFonts w:cstheme="minorHAnsi"/>
            <w:noProof/>
          </w:rPr>
          <w:t>Pytania badawcze</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_Toc8896925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8</w:t>
        </w:r>
        <w:r w:rsidR="00BE1538" w:rsidRPr="00FE708B">
          <w:rPr>
            <w:rFonts w:cstheme="minorHAnsi"/>
            <w:noProof/>
            <w:webHidden/>
          </w:rPr>
          <w:fldChar w:fldCharType="end"/>
        </w:r>
      </w:hyperlink>
    </w:p>
    <w:p w14:paraId="094E7858" w14:textId="26DC08BB"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26" w:history="1">
        <w:r w:rsidR="00BE1538" w:rsidRPr="00FE708B">
          <w:rPr>
            <w:rStyle w:val="Hipercze"/>
            <w:rFonts w:cstheme="minorHAnsi"/>
            <w:noProof/>
          </w:rPr>
          <w:t>4.</w:t>
        </w:r>
        <w:r w:rsidR="00BE1538" w:rsidRPr="00FE708B">
          <w:rPr>
            <w:rFonts w:eastAsiaTheme="minorEastAsia" w:cstheme="minorHAnsi"/>
            <w:noProof/>
            <w:lang w:val="en-GB" w:eastAsia="en-GB"/>
          </w:rPr>
          <w:tab/>
        </w:r>
        <w:r w:rsidR="00BE1538" w:rsidRPr="00FE708B">
          <w:rPr>
            <w:rStyle w:val="Hipercze"/>
            <w:rFonts w:cstheme="minorHAnsi"/>
            <w:noProof/>
          </w:rPr>
          <w:t>Metodologia badania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_Toc8896926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12</w:t>
        </w:r>
        <w:r w:rsidR="00BE1538" w:rsidRPr="00FE708B">
          <w:rPr>
            <w:rFonts w:cstheme="minorHAnsi"/>
            <w:noProof/>
            <w:webHidden/>
          </w:rPr>
          <w:fldChar w:fldCharType="end"/>
        </w:r>
      </w:hyperlink>
    </w:p>
    <w:p w14:paraId="226B8111" w14:textId="793A4761"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27" w:history="1">
        <w:r w:rsidR="00BE1538" w:rsidRPr="00FE708B">
          <w:rPr>
            <w:rStyle w:val="Hipercze"/>
            <w:rFonts w:cstheme="minorHAnsi"/>
            <w:noProof/>
          </w:rPr>
          <w:t>4.1.</w:t>
        </w:r>
        <w:r w:rsidR="00BE1538" w:rsidRPr="00FE708B">
          <w:rPr>
            <w:rFonts w:eastAsiaTheme="minorEastAsia" w:cstheme="minorHAnsi"/>
            <w:noProof/>
            <w:lang w:val="en-GB" w:eastAsia="en-GB"/>
          </w:rPr>
          <w:tab/>
        </w:r>
        <w:r w:rsidR="00BE1538" w:rsidRPr="00FE708B">
          <w:rPr>
            <w:rStyle w:val="Hipercze"/>
            <w:rFonts w:cstheme="minorHAnsi"/>
            <w:noProof/>
          </w:rPr>
          <w:t>Cześć wstępna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_Toc8896927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12</w:t>
        </w:r>
        <w:r w:rsidR="00BE1538" w:rsidRPr="00FE708B">
          <w:rPr>
            <w:rFonts w:cstheme="minorHAnsi"/>
            <w:noProof/>
            <w:webHidden/>
          </w:rPr>
          <w:fldChar w:fldCharType="end"/>
        </w:r>
      </w:hyperlink>
    </w:p>
    <w:p w14:paraId="11432C64" w14:textId="285483A5"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28" w:history="1">
        <w:r w:rsidR="00BE1538" w:rsidRPr="00FE708B">
          <w:rPr>
            <w:rStyle w:val="Hipercze"/>
            <w:rFonts w:cstheme="minorHAnsi"/>
            <w:noProof/>
          </w:rPr>
          <w:t>4.1.1.</w:t>
        </w:r>
        <w:r w:rsidR="00BE1538" w:rsidRPr="00FE708B">
          <w:rPr>
            <w:rFonts w:eastAsiaTheme="minorEastAsia" w:cstheme="minorHAnsi"/>
            <w:noProof/>
            <w:lang w:val="en-GB" w:eastAsia="en-GB"/>
          </w:rPr>
          <w:tab/>
        </w:r>
        <w:r w:rsidR="00BE1538" w:rsidRPr="00FE708B">
          <w:rPr>
            <w:rStyle w:val="Hipercze"/>
            <w:rFonts w:cstheme="minorHAnsi"/>
            <w:noProof/>
          </w:rPr>
          <w:t>Analiza danych zastanych</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_Toc8896928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13</w:t>
        </w:r>
        <w:r w:rsidR="00BE1538" w:rsidRPr="00FE708B">
          <w:rPr>
            <w:rFonts w:cstheme="minorHAnsi"/>
            <w:noProof/>
            <w:webHidden/>
          </w:rPr>
          <w:fldChar w:fldCharType="end"/>
        </w:r>
      </w:hyperlink>
    </w:p>
    <w:p w14:paraId="590AA92E" w14:textId="3CC818CC"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29" w:history="1">
        <w:r w:rsidR="00BE1538" w:rsidRPr="00FE708B">
          <w:rPr>
            <w:rStyle w:val="Hipercze"/>
            <w:rFonts w:cstheme="minorHAnsi"/>
            <w:noProof/>
          </w:rPr>
          <w:t>4.1.2.</w:t>
        </w:r>
        <w:r w:rsidR="00BE1538" w:rsidRPr="00FE708B">
          <w:rPr>
            <w:rFonts w:eastAsiaTheme="minorEastAsia" w:cstheme="minorHAnsi"/>
            <w:noProof/>
            <w:lang w:val="en-GB" w:eastAsia="en-GB"/>
          </w:rPr>
          <w:tab/>
        </w:r>
        <w:r w:rsidR="00BE1538" w:rsidRPr="00FE708B">
          <w:rPr>
            <w:rStyle w:val="Hipercze"/>
            <w:rFonts w:cstheme="minorHAnsi"/>
            <w:noProof/>
          </w:rPr>
          <w:t>Badania jakościowe etapu wstępnego</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_Toc8896929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16</w:t>
        </w:r>
        <w:r w:rsidR="00BE1538" w:rsidRPr="00FE708B">
          <w:rPr>
            <w:rFonts w:cstheme="minorHAnsi"/>
            <w:noProof/>
            <w:webHidden/>
          </w:rPr>
          <w:fldChar w:fldCharType="end"/>
        </w:r>
      </w:hyperlink>
    </w:p>
    <w:p w14:paraId="0909340A" w14:textId="35E7B127"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0" w:history="1">
        <w:r w:rsidR="00BE1538" w:rsidRPr="00FE708B">
          <w:rPr>
            <w:rStyle w:val="Hipercze"/>
            <w:rFonts w:cstheme="minorHAnsi"/>
            <w:noProof/>
          </w:rPr>
          <w:t>4.1.3.</w:t>
        </w:r>
        <w:r w:rsidR="00BE1538" w:rsidRPr="00FE708B">
          <w:rPr>
            <w:rFonts w:eastAsiaTheme="minorEastAsia" w:cstheme="minorHAnsi"/>
            <w:noProof/>
            <w:lang w:val="en-GB" w:eastAsia="en-GB"/>
          </w:rPr>
          <w:tab/>
        </w:r>
        <w:r w:rsidR="00BE1538" w:rsidRPr="00FE708B">
          <w:rPr>
            <w:rStyle w:val="Hipercze"/>
            <w:rFonts w:cstheme="minorHAnsi"/>
            <w:noProof/>
          </w:rPr>
          <w:t>Część wstępna – produkty</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_Toc8896930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20</w:t>
        </w:r>
        <w:r w:rsidR="00BE1538" w:rsidRPr="00FE708B">
          <w:rPr>
            <w:rFonts w:cstheme="minorHAnsi"/>
            <w:noProof/>
            <w:webHidden/>
          </w:rPr>
          <w:fldChar w:fldCharType="end"/>
        </w:r>
      </w:hyperlink>
    </w:p>
    <w:p w14:paraId="411E0D71" w14:textId="7639B3D1"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31" w:history="1">
        <w:r w:rsidR="00BE1538" w:rsidRPr="00FE708B">
          <w:rPr>
            <w:rStyle w:val="Hipercze"/>
            <w:rFonts w:cstheme="minorHAnsi"/>
            <w:noProof/>
          </w:rPr>
          <w:t>4.2.</w:t>
        </w:r>
        <w:r w:rsidR="00BE1538" w:rsidRPr="00FE708B">
          <w:rPr>
            <w:rFonts w:eastAsiaTheme="minorEastAsia" w:cstheme="minorHAnsi"/>
            <w:noProof/>
            <w:lang w:val="en-GB" w:eastAsia="en-GB"/>
          </w:rPr>
          <w:tab/>
        </w:r>
        <w:r w:rsidR="00BE1538" w:rsidRPr="00FE708B">
          <w:rPr>
            <w:rStyle w:val="Hipercze"/>
            <w:rFonts w:cstheme="minorHAnsi"/>
            <w:noProof/>
          </w:rPr>
          <w:t>Cześć właściwa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_Toc8896931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22</w:t>
        </w:r>
        <w:r w:rsidR="00BE1538" w:rsidRPr="00FE708B">
          <w:rPr>
            <w:rFonts w:cstheme="minorHAnsi"/>
            <w:noProof/>
            <w:webHidden/>
          </w:rPr>
          <w:fldChar w:fldCharType="end"/>
        </w:r>
      </w:hyperlink>
    </w:p>
    <w:p w14:paraId="38F68F87" w14:textId="50360D99"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2" w:history="1">
        <w:r w:rsidR="00BE1538" w:rsidRPr="00FE708B">
          <w:rPr>
            <w:rStyle w:val="Hipercze"/>
            <w:rFonts w:cstheme="minorHAnsi"/>
            <w:noProof/>
          </w:rPr>
          <w:t>4.2.1.</w:t>
        </w:r>
        <w:r w:rsidR="00BE1538" w:rsidRPr="00FE708B">
          <w:rPr>
            <w:rFonts w:eastAsiaTheme="minorEastAsia" w:cstheme="minorHAnsi"/>
            <w:noProof/>
            <w:lang w:val="en-GB" w:eastAsia="en-GB"/>
          </w:rPr>
          <w:tab/>
        </w:r>
        <w:r w:rsidR="00BE1538" w:rsidRPr="00FE708B">
          <w:rPr>
            <w:rStyle w:val="Hipercze"/>
            <w:rFonts w:cstheme="minorHAnsi"/>
            <w:noProof/>
          </w:rPr>
          <w:t>Badanie ilościowe etapu właściwego</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_Toc8896932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22</w:t>
        </w:r>
        <w:r w:rsidR="00BE1538" w:rsidRPr="00FE708B">
          <w:rPr>
            <w:rFonts w:cstheme="minorHAnsi"/>
            <w:noProof/>
            <w:webHidden/>
          </w:rPr>
          <w:fldChar w:fldCharType="end"/>
        </w:r>
      </w:hyperlink>
    </w:p>
    <w:p w14:paraId="65ED01F6" w14:textId="4B65ECC5"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3" w:history="1">
        <w:r w:rsidR="00BE1538" w:rsidRPr="00FE708B">
          <w:rPr>
            <w:rStyle w:val="Hipercze"/>
            <w:rFonts w:cstheme="minorHAnsi"/>
            <w:noProof/>
          </w:rPr>
          <w:t>4.2.2.</w:t>
        </w:r>
        <w:r w:rsidR="00BE1538" w:rsidRPr="00FE708B">
          <w:rPr>
            <w:rFonts w:eastAsiaTheme="minorEastAsia" w:cstheme="minorHAnsi"/>
            <w:noProof/>
            <w:lang w:val="en-GB" w:eastAsia="en-GB"/>
          </w:rPr>
          <w:tab/>
        </w:r>
        <w:r w:rsidR="00BE1538" w:rsidRPr="00FE708B">
          <w:rPr>
            <w:rStyle w:val="Hipercze"/>
            <w:rFonts w:cstheme="minorHAnsi"/>
            <w:noProof/>
          </w:rPr>
          <w:t>Badane jakościowe etapu właściwego</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_Toc8896933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26</w:t>
        </w:r>
        <w:r w:rsidR="00BE1538" w:rsidRPr="00FE708B">
          <w:rPr>
            <w:rFonts w:cstheme="minorHAnsi"/>
            <w:noProof/>
            <w:webHidden/>
          </w:rPr>
          <w:fldChar w:fldCharType="end"/>
        </w:r>
      </w:hyperlink>
    </w:p>
    <w:p w14:paraId="507124FD" w14:textId="1B50FFF4"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34" w:history="1">
        <w:r w:rsidR="00BE1538" w:rsidRPr="00FE708B">
          <w:rPr>
            <w:rStyle w:val="Hipercze"/>
            <w:rFonts w:cstheme="minorHAnsi"/>
            <w:noProof/>
          </w:rPr>
          <w:t>4.3.</w:t>
        </w:r>
        <w:r w:rsidR="00BE1538" w:rsidRPr="00FE708B">
          <w:rPr>
            <w:rFonts w:eastAsiaTheme="minorEastAsia" w:cstheme="minorHAnsi"/>
            <w:noProof/>
            <w:lang w:val="en-GB" w:eastAsia="en-GB"/>
          </w:rPr>
          <w:tab/>
        </w:r>
        <w:r w:rsidR="00BE1538" w:rsidRPr="00FE708B">
          <w:rPr>
            <w:rStyle w:val="Hipercze"/>
            <w:rFonts w:cstheme="minorHAnsi"/>
            <w:noProof/>
          </w:rPr>
          <w:t>Cześć podsumowująca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_Toc8896934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30</w:t>
        </w:r>
        <w:r w:rsidR="00BE1538" w:rsidRPr="00FE708B">
          <w:rPr>
            <w:rFonts w:cstheme="minorHAnsi"/>
            <w:noProof/>
            <w:webHidden/>
          </w:rPr>
          <w:fldChar w:fldCharType="end"/>
        </w:r>
      </w:hyperlink>
    </w:p>
    <w:p w14:paraId="1FA4E9F6" w14:textId="6448947D"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5" w:history="1">
        <w:r w:rsidR="00BE1538" w:rsidRPr="00FE708B">
          <w:rPr>
            <w:rStyle w:val="Hipercze"/>
            <w:rFonts w:cstheme="minorHAnsi"/>
            <w:noProof/>
          </w:rPr>
          <w:t>4.3.1.</w:t>
        </w:r>
        <w:r w:rsidR="00BE1538" w:rsidRPr="00FE708B">
          <w:rPr>
            <w:rFonts w:eastAsiaTheme="minorEastAsia" w:cstheme="minorHAnsi"/>
            <w:noProof/>
            <w:lang w:val="en-GB" w:eastAsia="en-GB"/>
          </w:rPr>
          <w:tab/>
        </w:r>
        <w:r w:rsidR="00BE1538" w:rsidRPr="00FE708B">
          <w:rPr>
            <w:rStyle w:val="Hipercze"/>
            <w:rFonts w:cstheme="minorHAnsi"/>
            <w:noProof/>
          </w:rPr>
          <w:t>Raport top-line</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_Toc8896935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30</w:t>
        </w:r>
        <w:r w:rsidR="00BE1538" w:rsidRPr="00FE708B">
          <w:rPr>
            <w:rFonts w:cstheme="minorHAnsi"/>
            <w:noProof/>
            <w:webHidden/>
          </w:rPr>
          <w:fldChar w:fldCharType="end"/>
        </w:r>
      </w:hyperlink>
    </w:p>
    <w:p w14:paraId="14B03300" w14:textId="2C4BA266"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6" w:history="1">
        <w:r w:rsidR="00BE1538" w:rsidRPr="00FE708B">
          <w:rPr>
            <w:rStyle w:val="Hipercze"/>
            <w:rFonts w:cstheme="minorHAnsi"/>
            <w:noProof/>
          </w:rPr>
          <w:t>4.3.2.</w:t>
        </w:r>
        <w:r w:rsidR="00BE1538" w:rsidRPr="00FE708B">
          <w:rPr>
            <w:rFonts w:eastAsiaTheme="minorEastAsia" w:cstheme="minorHAnsi"/>
            <w:noProof/>
            <w:lang w:val="en-GB" w:eastAsia="en-GB"/>
          </w:rPr>
          <w:tab/>
        </w:r>
        <w:r w:rsidR="00BE1538" w:rsidRPr="00FE708B">
          <w:rPr>
            <w:rStyle w:val="Hipercze"/>
            <w:rFonts w:cstheme="minorHAnsi"/>
            <w:noProof/>
          </w:rPr>
          <w:t>Mini FGI</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_Toc8896936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30</w:t>
        </w:r>
        <w:r w:rsidR="00BE1538" w:rsidRPr="00FE708B">
          <w:rPr>
            <w:rFonts w:cstheme="minorHAnsi"/>
            <w:noProof/>
            <w:webHidden/>
          </w:rPr>
          <w:fldChar w:fldCharType="end"/>
        </w:r>
      </w:hyperlink>
    </w:p>
    <w:p w14:paraId="46A1360E" w14:textId="62B94BF3" w:rsidR="00BE1538" w:rsidRPr="00FE708B" w:rsidRDefault="00A15C50" w:rsidP="00380CEE">
      <w:pPr>
        <w:pStyle w:val="Spistreci3"/>
        <w:tabs>
          <w:tab w:val="left" w:pos="1320"/>
          <w:tab w:val="right" w:leader="dot" w:pos="9062"/>
        </w:tabs>
        <w:spacing w:line="360" w:lineRule="auto"/>
        <w:rPr>
          <w:rFonts w:eastAsiaTheme="minorEastAsia" w:cstheme="minorHAnsi"/>
          <w:noProof/>
          <w:lang w:val="en-GB" w:eastAsia="en-GB"/>
        </w:rPr>
      </w:pPr>
      <w:hyperlink w:anchor="_Toc8896937" w:history="1">
        <w:r w:rsidR="00BE1538" w:rsidRPr="00FE708B">
          <w:rPr>
            <w:rStyle w:val="Hipercze"/>
            <w:rFonts w:cstheme="minorHAnsi"/>
            <w:noProof/>
          </w:rPr>
          <w:t>4.3.3.</w:t>
        </w:r>
        <w:r w:rsidR="00BE1538" w:rsidRPr="00FE708B">
          <w:rPr>
            <w:rFonts w:eastAsiaTheme="minorEastAsia" w:cstheme="minorHAnsi"/>
            <w:noProof/>
            <w:lang w:val="en-GB" w:eastAsia="en-GB"/>
          </w:rPr>
          <w:tab/>
        </w:r>
        <w:r w:rsidR="00BE1538" w:rsidRPr="00FE708B">
          <w:rPr>
            <w:rStyle w:val="Hipercze"/>
            <w:rFonts w:cstheme="minorHAnsi"/>
            <w:noProof/>
          </w:rPr>
          <w:t>Raport końcowy</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_Toc8896937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31</w:t>
        </w:r>
        <w:r w:rsidR="00BE1538" w:rsidRPr="00FE708B">
          <w:rPr>
            <w:rFonts w:cstheme="minorHAnsi"/>
            <w:noProof/>
            <w:webHidden/>
          </w:rPr>
          <w:fldChar w:fldCharType="end"/>
        </w:r>
      </w:hyperlink>
    </w:p>
    <w:p w14:paraId="31A393A0" w14:textId="5824AFE0" w:rsidR="00BE1538" w:rsidRPr="00FE708B" w:rsidRDefault="00A15C50" w:rsidP="00380CEE">
      <w:pPr>
        <w:pStyle w:val="Spistreci2"/>
        <w:tabs>
          <w:tab w:val="left" w:pos="880"/>
          <w:tab w:val="right" w:leader="dot" w:pos="9062"/>
        </w:tabs>
        <w:spacing w:line="360" w:lineRule="auto"/>
        <w:rPr>
          <w:rFonts w:eastAsiaTheme="minorEastAsia" w:cstheme="minorHAnsi"/>
          <w:noProof/>
          <w:lang w:val="en-GB" w:eastAsia="en-GB"/>
        </w:rPr>
      </w:pPr>
      <w:hyperlink w:anchor="_Toc8896938" w:history="1">
        <w:r w:rsidR="00BE1538" w:rsidRPr="00FE708B">
          <w:rPr>
            <w:rStyle w:val="Hipercze"/>
            <w:rFonts w:cstheme="minorHAnsi"/>
            <w:noProof/>
          </w:rPr>
          <w:t>4.4.</w:t>
        </w:r>
        <w:r w:rsidR="00BE1538" w:rsidRPr="00FE708B">
          <w:rPr>
            <w:rFonts w:eastAsiaTheme="minorEastAsia" w:cstheme="minorHAnsi"/>
            <w:noProof/>
            <w:lang w:val="en-GB" w:eastAsia="en-GB"/>
          </w:rPr>
          <w:tab/>
        </w:r>
        <w:r w:rsidR="00BE1538" w:rsidRPr="00FE708B">
          <w:rPr>
            <w:rStyle w:val="Hipercze"/>
            <w:rFonts w:cstheme="minorHAnsi"/>
            <w:noProof/>
          </w:rPr>
          <w:t>Wsparcie zamawiającego w zakresie konsultacji, aktualizacji i promocji wyników zamówienia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_Toc8896938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34</w:t>
        </w:r>
        <w:r w:rsidR="00BE1538" w:rsidRPr="00FE708B">
          <w:rPr>
            <w:rFonts w:cstheme="minorHAnsi"/>
            <w:noProof/>
            <w:webHidden/>
          </w:rPr>
          <w:fldChar w:fldCharType="end"/>
        </w:r>
      </w:hyperlink>
    </w:p>
    <w:p w14:paraId="6B63211D" w14:textId="2518F7A7"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39" w:history="1">
        <w:r w:rsidR="00BE1538" w:rsidRPr="00FE708B">
          <w:rPr>
            <w:rStyle w:val="Hipercze"/>
            <w:rFonts w:cstheme="minorHAnsi"/>
            <w:noProof/>
          </w:rPr>
          <w:t>5.</w:t>
        </w:r>
        <w:r w:rsidR="00BE1538" w:rsidRPr="00FE708B">
          <w:rPr>
            <w:rFonts w:eastAsiaTheme="minorEastAsia" w:cstheme="minorHAnsi"/>
            <w:noProof/>
            <w:lang w:val="en-GB" w:eastAsia="en-GB"/>
          </w:rPr>
          <w:tab/>
        </w:r>
        <w:r w:rsidR="00BE1538" w:rsidRPr="00FE708B">
          <w:rPr>
            <w:rStyle w:val="Hipercze"/>
            <w:rFonts w:cstheme="minorHAnsi"/>
            <w:noProof/>
          </w:rPr>
          <w:t>Zasady odbioru i akceptacji produktów badania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_Toc8896939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35</w:t>
        </w:r>
        <w:r w:rsidR="00BE1538" w:rsidRPr="00FE708B">
          <w:rPr>
            <w:rFonts w:cstheme="minorHAnsi"/>
            <w:noProof/>
            <w:webHidden/>
          </w:rPr>
          <w:fldChar w:fldCharType="end"/>
        </w:r>
      </w:hyperlink>
    </w:p>
    <w:p w14:paraId="54FA3405" w14:textId="0FCE73C8"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40" w:history="1">
        <w:r w:rsidR="00BE1538" w:rsidRPr="00FE708B">
          <w:rPr>
            <w:rStyle w:val="Hipercze"/>
            <w:rFonts w:cstheme="minorHAnsi"/>
            <w:noProof/>
          </w:rPr>
          <w:t>6.</w:t>
        </w:r>
        <w:r w:rsidR="00BE1538" w:rsidRPr="00FE708B">
          <w:rPr>
            <w:rFonts w:eastAsiaTheme="minorEastAsia" w:cstheme="minorHAnsi"/>
            <w:noProof/>
            <w:lang w:val="en-GB" w:eastAsia="en-GB"/>
          </w:rPr>
          <w:tab/>
        </w:r>
        <w:r w:rsidR="00BE1538" w:rsidRPr="00FE708B">
          <w:rPr>
            <w:rStyle w:val="Hipercze"/>
            <w:rFonts w:cstheme="minorHAnsi"/>
            <w:noProof/>
          </w:rPr>
          <w:t>Harmonogram badania</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_Toc8896940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35</w:t>
        </w:r>
        <w:r w:rsidR="00BE1538" w:rsidRPr="00FE708B">
          <w:rPr>
            <w:rFonts w:cstheme="minorHAnsi"/>
            <w:noProof/>
            <w:webHidden/>
          </w:rPr>
          <w:fldChar w:fldCharType="end"/>
        </w:r>
      </w:hyperlink>
    </w:p>
    <w:p w14:paraId="1DAA7F9B" w14:textId="6CF9D4CA"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41" w:history="1">
        <w:r w:rsidR="00BE1538" w:rsidRPr="00FE708B">
          <w:rPr>
            <w:rStyle w:val="Hipercze"/>
            <w:rFonts w:cstheme="minorHAnsi"/>
            <w:noProof/>
          </w:rPr>
          <w:t>7.</w:t>
        </w:r>
        <w:r w:rsidR="00BE1538" w:rsidRPr="00FE708B">
          <w:rPr>
            <w:rFonts w:eastAsiaTheme="minorEastAsia" w:cstheme="minorHAnsi"/>
            <w:noProof/>
            <w:lang w:val="en-GB" w:eastAsia="en-GB"/>
          </w:rPr>
          <w:tab/>
        </w:r>
        <w:r w:rsidR="00BE1538" w:rsidRPr="00FE708B">
          <w:rPr>
            <w:rStyle w:val="Hipercze"/>
            <w:rFonts w:cstheme="minorHAnsi"/>
            <w:noProof/>
          </w:rPr>
          <w:t>Zespół wykonawczy</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_Toc8896941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36</w:t>
        </w:r>
        <w:r w:rsidR="00BE1538" w:rsidRPr="00FE708B">
          <w:rPr>
            <w:rFonts w:cstheme="minorHAnsi"/>
            <w:noProof/>
            <w:webHidden/>
          </w:rPr>
          <w:fldChar w:fldCharType="end"/>
        </w:r>
      </w:hyperlink>
    </w:p>
    <w:p w14:paraId="30EE2458" w14:textId="0C81BE55"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42" w:history="1">
        <w:r w:rsidR="00BE1538" w:rsidRPr="00FE708B">
          <w:rPr>
            <w:rStyle w:val="Hipercze"/>
            <w:rFonts w:cstheme="minorHAnsi"/>
            <w:noProof/>
          </w:rPr>
          <w:t>8.</w:t>
        </w:r>
        <w:r w:rsidR="00BE1538" w:rsidRPr="00FE708B">
          <w:rPr>
            <w:rFonts w:eastAsiaTheme="minorEastAsia" w:cstheme="minorHAnsi"/>
            <w:noProof/>
            <w:lang w:val="en-GB" w:eastAsia="en-GB"/>
          </w:rPr>
          <w:tab/>
        </w:r>
        <w:r w:rsidR="00BE1538" w:rsidRPr="00FE708B">
          <w:rPr>
            <w:rStyle w:val="Hipercze"/>
            <w:rFonts w:cstheme="minorHAnsi"/>
            <w:noProof/>
          </w:rPr>
          <w:t>Techniki analityczne i tabele statystyczne (wynikowe)</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_Toc8896942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37</w:t>
        </w:r>
        <w:r w:rsidR="00BE1538" w:rsidRPr="00FE708B">
          <w:rPr>
            <w:rFonts w:cstheme="minorHAnsi"/>
            <w:noProof/>
            <w:webHidden/>
          </w:rPr>
          <w:fldChar w:fldCharType="end"/>
        </w:r>
      </w:hyperlink>
    </w:p>
    <w:p w14:paraId="3AF4FEF0" w14:textId="072C945C" w:rsidR="00BE1538" w:rsidRPr="00FE708B" w:rsidRDefault="00A15C50" w:rsidP="00380CEE">
      <w:pPr>
        <w:pStyle w:val="Spistreci1"/>
        <w:tabs>
          <w:tab w:val="left" w:pos="440"/>
          <w:tab w:val="right" w:leader="dot" w:pos="9062"/>
        </w:tabs>
        <w:spacing w:line="360" w:lineRule="auto"/>
        <w:rPr>
          <w:rFonts w:eastAsiaTheme="minorEastAsia" w:cstheme="minorHAnsi"/>
          <w:noProof/>
          <w:lang w:val="en-GB" w:eastAsia="en-GB"/>
        </w:rPr>
      </w:pPr>
      <w:hyperlink w:anchor="_Toc8896943" w:history="1">
        <w:r w:rsidR="00BE1538" w:rsidRPr="00FE708B">
          <w:rPr>
            <w:rStyle w:val="Hipercze"/>
            <w:rFonts w:cstheme="minorHAnsi"/>
            <w:noProof/>
          </w:rPr>
          <w:t>9.</w:t>
        </w:r>
        <w:r w:rsidR="00BE1538" w:rsidRPr="00FE708B">
          <w:rPr>
            <w:rFonts w:eastAsiaTheme="minorEastAsia" w:cstheme="minorHAnsi"/>
            <w:noProof/>
            <w:lang w:val="en-GB" w:eastAsia="en-GB"/>
          </w:rPr>
          <w:tab/>
        </w:r>
        <w:r w:rsidR="00BE1538" w:rsidRPr="00FE708B">
          <w:rPr>
            <w:rStyle w:val="Hipercze"/>
            <w:rFonts w:cstheme="minorHAnsi"/>
            <w:noProof/>
          </w:rPr>
          <w:t>Analiza danych jakościowych (IDI/TDI)</w:t>
        </w:r>
        <w:r w:rsidR="00BE1538" w:rsidRPr="00FE708B">
          <w:rPr>
            <w:rFonts w:cstheme="minorHAnsi"/>
            <w:noProof/>
            <w:webHidden/>
          </w:rPr>
          <w:tab/>
        </w:r>
        <w:r w:rsidR="00BE1538" w:rsidRPr="00FE708B">
          <w:rPr>
            <w:rFonts w:cstheme="minorHAnsi"/>
            <w:noProof/>
            <w:webHidden/>
          </w:rPr>
          <w:fldChar w:fldCharType="begin"/>
        </w:r>
        <w:r w:rsidR="00BE1538" w:rsidRPr="00FE708B">
          <w:rPr>
            <w:rFonts w:cstheme="minorHAnsi"/>
            <w:noProof/>
            <w:webHidden/>
          </w:rPr>
          <w:instrText xml:space="preserve"> PAGEREF _Toc8896943 \h </w:instrText>
        </w:r>
        <w:r w:rsidR="00BE1538" w:rsidRPr="00FE708B">
          <w:rPr>
            <w:rFonts w:cstheme="minorHAnsi"/>
            <w:noProof/>
            <w:webHidden/>
          </w:rPr>
        </w:r>
        <w:r w:rsidR="00BE1538" w:rsidRPr="00FE708B">
          <w:rPr>
            <w:rFonts w:cstheme="minorHAnsi"/>
            <w:noProof/>
            <w:webHidden/>
          </w:rPr>
          <w:fldChar w:fldCharType="separate"/>
        </w:r>
        <w:r w:rsidR="004F13F7">
          <w:rPr>
            <w:rFonts w:cstheme="minorHAnsi"/>
            <w:noProof/>
            <w:webHidden/>
          </w:rPr>
          <w:t>39</w:t>
        </w:r>
        <w:r w:rsidR="00BE1538" w:rsidRPr="00FE708B">
          <w:rPr>
            <w:rFonts w:cstheme="minorHAnsi"/>
            <w:noProof/>
            <w:webHidden/>
          </w:rPr>
          <w:fldChar w:fldCharType="end"/>
        </w:r>
      </w:hyperlink>
    </w:p>
    <w:p w14:paraId="63E51527" w14:textId="77777777" w:rsidR="001B56C4" w:rsidRPr="00FE708B" w:rsidRDefault="001B56C4" w:rsidP="00380CEE">
      <w:pPr>
        <w:spacing w:after="160" w:line="360" w:lineRule="auto"/>
        <w:rPr>
          <w:rFonts w:cstheme="minorHAnsi"/>
          <w:sz w:val="24"/>
          <w:szCs w:val="24"/>
          <w:u w:val="single"/>
        </w:rPr>
      </w:pPr>
      <w:r w:rsidRPr="00FE708B">
        <w:rPr>
          <w:rFonts w:cstheme="minorHAnsi"/>
          <w:u w:val="single"/>
        </w:rPr>
        <w:fldChar w:fldCharType="end"/>
      </w:r>
      <w:r w:rsidRPr="00FE708B">
        <w:rPr>
          <w:rFonts w:cstheme="minorHAnsi"/>
          <w:u w:val="single"/>
        </w:rPr>
        <w:br w:type="page"/>
      </w:r>
    </w:p>
    <w:p w14:paraId="66695C72" w14:textId="77777777" w:rsidR="00801539" w:rsidRPr="00FE708B" w:rsidRDefault="00801539" w:rsidP="00E97F99">
      <w:pPr>
        <w:pStyle w:val="NormalnyWeb"/>
        <w:shd w:val="clear" w:color="auto" w:fill="FFFFFF"/>
        <w:spacing w:before="120" w:after="120" w:line="360" w:lineRule="auto"/>
        <w:rPr>
          <w:rFonts w:asciiTheme="minorHAnsi" w:eastAsiaTheme="minorHAnsi" w:hAnsiTheme="minorHAnsi" w:cstheme="minorHAnsi"/>
          <w:u w:val="single"/>
          <w:lang w:eastAsia="en-US"/>
        </w:rPr>
      </w:pPr>
    </w:p>
    <w:p w14:paraId="730C751A" w14:textId="77777777" w:rsidR="00623EFC" w:rsidRPr="00FE708B" w:rsidRDefault="00623EFC" w:rsidP="001B56C4">
      <w:pPr>
        <w:pStyle w:val="N1"/>
        <w:rPr>
          <w:rFonts w:asciiTheme="minorHAnsi" w:hAnsiTheme="minorHAnsi" w:cstheme="minorHAnsi"/>
        </w:rPr>
      </w:pPr>
      <w:bookmarkStart w:id="0" w:name="_Toc8896921"/>
      <w:r w:rsidRPr="00FE708B">
        <w:rPr>
          <w:rFonts w:asciiTheme="minorHAnsi" w:hAnsiTheme="minorHAnsi" w:cstheme="minorHAnsi"/>
        </w:rPr>
        <w:t>Kontekst badania</w:t>
      </w:r>
      <w:bookmarkEnd w:id="0"/>
      <w:r w:rsidRPr="00FE708B">
        <w:rPr>
          <w:rFonts w:asciiTheme="minorHAnsi" w:hAnsiTheme="minorHAnsi" w:cstheme="minorHAnsi"/>
        </w:rPr>
        <w:t xml:space="preserve"> </w:t>
      </w:r>
    </w:p>
    <w:p w14:paraId="3FF551AB" w14:textId="77777777" w:rsidR="00D479C2" w:rsidRPr="00FE708B" w:rsidRDefault="00A9762C" w:rsidP="001B56C4">
      <w:pPr>
        <w:pStyle w:val="N2"/>
        <w:rPr>
          <w:rFonts w:asciiTheme="minorHAnsi" w:hAnsiTheme="minorHAnsi" w:cstheme="minorHAnsi"/>
        </w:rPr>
      </w:pPr>
      <w:bookmarkStart w:id="1" w:name="_Toc8896922"/>
      <w:r w:rsidRPr="00FE708B">
        <w:rPr>
          <w:rFonts w:asciiTheme="minorHAnsi" w:hAnsiTheme="minorHAnsi" w:cstheme="minorHAnsi"/>
        </w:rPr>
        <w:t>Baza Usług Rozwojowych i Podmiotowy System Finansowania</w:t>
      </w:r>
      <w:bookmarkEnd w:id="1"/>
    </w:p>
    <w:p w14:paraId="414AE443" w14:textId="14B0842D" w:rsidR="00623EFC" w:rsidRPr="00FE708B" w:rsidRDefault="00623EF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W ramach perspektywy finansowej 2014-2020 system dystrybucji środków Europejskiego Funduszu Społecznego </w:t>
      </w:r>
      <w:r w:rsidR="003D2BF9">
        <w:rPr>
          <w:rFonts w:asciiTheme="minorHAnsi" w:eastAsiaTheme="minorHAnsi" w:hAnsiTheme="minorHAnsi" w:cstheme="minorHAnsi"/>
          <w:lang w:eastAsia="en-US"/>
        </w:rPr>
        <w:t xml:space="preserve">(EFS) </w:t>
      </w:r>
      <w:r w:rsidRPr="00FE708B">
        <w:rPr>
          <w:rFonts w:asciiTheme="minorHAnsi" w:eastAsiaTheme="minorHAnsi" w:hAnsiTheme="minorHAnsi" w:cstheme="minorHAnsi"/>
          <w:lang w:eastAsia="en-US"/>
        </w:rPr>
        <w:t xml:space="preserve">przeznaczonych na wspieranie adaptacyjności przedsiębiorców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i pracowników został oparty na podejściu popytowym. Przyjęto, że trafność, skuteczność, użyteczność oraz trwałość działań w zakresie </w:t>
      </w:r>
      <w:r w:rsidR="00393619" w:rsidRPr="00FE708B">
        <w:rPr>
          <w:rFonts w:asciiTheme="minorHAnsi" w:eastAsiaTheme="minorHAnsi" w:hAnsiTheme="minorHAnsi" w:cstheme="minorHAnsi"/>
          <w:lang w:eastAsia="en-US"/>
        </w:rPr>
        <w:t xml:space="preserve">doskonalenia </w:t>
      </w:r>
      <w:r w:rsidR="00F270DB" w:rsidRPr="00FE708B">
        <w:rPr>
          <w:rFonts w:asciiTheme="minorHAnsi" w:eastAsiaTheme="minorHAnsi" w:hAnsiTheme="minorHAnsi" w:cstheme="minorHAnsi"/>
          <w:lang w:eastAsia="en-US"/>
        </w:rPr>
        <w:t xml:space="preserve">kadr w przedsiębiorstwach </w:t>
      </w:r>
      <w:r w:rsidR="005D5838" w:rsidRPr="00FE708B">
        <w:rPr>
          <w:rFonts w:asciiTheme="minorHAnsi" w:eastAsiaTheme="minorHAnsi" w:hAnsiTheme="minorHAnsi" w:cstheme="minorHAnsi"/>
          <w:lang w:eastAsia="en-US"/>
        </w:rPr>
        <w:t>będzie większa</w:t>
      </w:r>
      <w:r w:rsidR="003D2BF9">
        <w:rPr>
          <w:rFonts w:asciiTheme="minorHAnsi" w:eastAsiaTheme="minorHAnsi" w:hAnsiTheme="minorHAnsi" w:cstheme="minorHAnsi"/>
          <w:lang w:eastAsia="en-US"/>
        </w:rPr>
        <w:t>,</w:t>
      </w:r>
      <w:r w:rsidR="005D5838" w:rsidRPr="00FE708B">
        <w:rPr>
          <w:rFonts w:asciiTheme="minorHAnsi" w:eastAsiaTheme="minorHAnsi" w:hAnsiTheme="minorHAnsi" w:cstheme="minorHAnsi"/>
          <w:lang w:eastAsia="en-US"/>
        </w:rPr>
        <w:t xml:space="preserve"> jeżeli to </w:t>
      </w:r>
      <w:r w:rsidR="00F270DB" w:rsidRPr="00FE708B">
        <w:rPr>
          <w:rFonts w:asciiTheme="minorHAnsi" w:eastAsiaTheme="minorHAnsi" w:hAnsiTheme="minorHAnsi" w:cstheme="minorHAnsi"/>
          <w:lang w:eastAsia="en-US"/>
        </w:rPr>
        <w:t xml:space="preserve">przedstawiciele przedsiębiorstw </w:t>
      </w:r>
      <w:r w:rsidR="005D5838" w:rsidRPr="00FE708B">
        <w:rPr>
          <w:rFonts w:asciiTheme="minorHAnsi" w:eastAsiaTheme="minorHAnsi" w:hAnsiTheme="minorHAnsi" w:cstheme="minorHAnsi"/>
          <w:lang w:eastAsia="en-US"/>
        </w:rPr>
        <w:t xml:space="preserve">będą decydowali o wyborze usługodawcy, zgodnie z potrzebami rozwojowymi. Opisany mechanizm jest zatem przeciwieństwem </w:t>
      </w:r>
      <w:r w:rsidR="00393619" w:rsidRPr="00FE708B">
        <w:rPr>
          <w:rFonts w:asciiTheme="minorHAnsi" w:eastAsiaTheme="minorHAnsi" w:hAnsiTheme="minorHAnsi" w:cstheme="minorHAnsi"/>
          <w:lang w:eastAsia="en-US"/>
        </w:rPr>
        <w:t xml:space="preserve">tzw. </w:t>
      </w:r>
      <w:r w:rsidR="00F270DB" w:rsidRPr="00FE708B">
        <w:rPr>
          <w:rFonts w:asciiTheme="minorHAnsi" w:eastAsiaTheme="minorHAnsi" w:hAnsiTheme="minorHAnsi" w:cstheme="minorHAnsi"/>
          <w:lang w:eastAsia="en-US"/>
        </w:rPr>
        <w:t>systemu podażowego</w:t>
      </w:r>
      <w:r w:rsidR="005D5838" w:rsidRPr="00FE708B">
        <w:rPr>
          <w:rFonts w:asciiTheme="minorHAnsi" w:eastAsiaTheme="minorHAnsi" w:hAnsiTheme="minorHAnsi" w:cstheme="minorHAnsi"/>
          <w:lang w:eastAsia="en-US"/>
        </w:rPr>
        <w:t>, kiedy to na podmiotach świadczących usługi rozwojowe</w:t>
      </w:r>
      <w:r w:rsidR="00A9762C" w:rsidRPr="00FE708B">
        <w:rPr>
          <w:rStyle w:val="Odwoanieprzypisudolnego"/>
          <w:rFonts w:asciiTheme="minorHAnsi" w:eastAsiaTheme="minorHAnsi" w:hAnsiTheme="minorHAnsi" w:cstheme="minorHAnsi"/>
          <w:lang w:eastAsia="en-US"/>
        </w:rPr>
        <w:footnoteReference w:id="2"/>
      </w:r>
      <w:r w:rsidR="005D5838" w:rsidRPr="00FE708B">
        <w:rPr>
          <w:rFonts w:asciiTheme="minorHAnsi" w:eastAsiaTheme="minorHAnsi" w:hAnsiTheme="minorHAnsi" w:cstheme="minorHAnsi"/>
          <w:lang w:eastAsia="en-US"/>
        </w:rPr>
        <w:t xml:space="preserve"> spoczywa obowiązek pozyskania klientów, zgodnie z ustalonymi wcześniej </w:t>
      </w:r>
      <w:r w:rsidR="00393619" w:rsidRPr="00FE708B">
        <w:rPr>
          <w:rFonts w:asciiTheme="minorHAnsi" w:eastAsiaTheme="minorHAnsi" w:hAnsiTheme="minorHAnsi" w:cstheme="minorHAnsi"/>
          <w:lang w:eastAsia="en-US"/>
        </w:rPr>
        <w:t>parametrami</w:t>
      </w:r>
      <w:r w:rsidR="005D5838" w:rsidRPr="00FE708B">
        <w:rPr>
          <w:rFonts w:asciiTheme="minorHAnsi" w:eastAsiaTheme="minorHAnsi" w:hAnsiTheme="minorHAnsi" w:cstheme="minorHAnsi"/>
          <w:lang w:eastAsia="en-US"/>
        </w:rPr>
        <w:t xml:space="preserve">. </w:t>
      </w:r>
    </w:p>
    <w:p w14:paraId="7123C1B1" w14:textId="5B4CBEF4" w:rsidR="005D5838" w:rsidRPr="00FE708B" w:rsidRDefault="005D5838"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Podejście popytowe jest wdrażane na dwóch poziomach: krajowym oraz regionalnym</w:t>
      </w:r>
      <w:r w:rsidR="003D2BF9">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w:t>
      </w:r>
    </w:p>
    <w:p w14:paraId="03CA9DF6" w14:textId="6FF63B12" w:rsidR="005D5838" w:rsidRPr="00FE708B" w:rsidRDefault="003D2BF9" w:rsidP="00E97F99">
      <w:pPr>
        <w:pStyle w:val="NormalnyWeb"/>
        <w:numPr>
          <w:ilvl w:val="0"/>
          <w:numId w:val="2"/>
        </w:numPr>
        <w:shd w:val="clear" w:color="auto" w:fill="FFFFFF"/>
        <w:spacing w:before="120" w:after="120" w:line="360" w:lineRule="auto"/>
        <w:rPr>
          <w:rFonts w:asciiTheme="minorHAnsi" w:eastAsiaTheme="minorHAnsi" w:hAnsiTheme="minorHAnsi" w:cstheme="minorHAnsi"/>
          <w:lang w:eastAsia="en-US"/>
        </w:rPr>
      </w:pPr>
      <w:r>
        <w:rPr>
          <w:rFonts w:asciiTheme="minorHAnsi" w:eastAsiaTheme="minorHAnsi" w:hAnsiTheme="minorHAnsi" w:cstheme="minorHAnsi"/>
          <w:lang w:eastAsia="en-US"/>
        </w:rPr>
        <w:t>k</w:t>
      </w:r>
      <w:r w:rsidR="005D5838" w:rsidRPr="00FE708B">
        <w:rPr>
          <w:rFonts w:asciiTheme="minorHAnsi" w:eastAsiaTheme="minorHAnsi" w:hAnsiTheme="minorHAnsi" w:cstheme="minorHAnsi"/>
          <w:lang w:eastAsia="en-US"/>
        </w:rPr>
        <w:t>rajowy – skupiony jest na zapewnieniu</w:t>
      </w:r>
      <w:r w:rsidR="00ED6EF2" w:rsidRPr="00FE708B">
        <w:rPr>
          <w:rFonts w:asciiTheme="minorHAnsi" w:eastAsiaTheme="minorHAnsi" w:hAnsiTheme="minorHAnsi" w:cstheme="minorHAnsi"/>
          <w:lang w:eastAsia="en-US"/>
        </w:rPr>
        <w:t xml:space="preserve"> dostępności </w:t>
      </w:r>
      <w:r w:rsidR="00AD02D6" w:rsidRPr="00FE708B">
        <w:rPr>
          <w:rFonts w:asciiTheme="minorHAnsi" w:eastAsiaTheme="minorHAnsi" w:hAnsiTheme="minorHAnsi" w:cstheme="minorHAnsi"/>
          <w:lang w:eastAsia="en-US"/>
        </w:rPr>
        <w:t>wysokiej</w:t>
      </w:r>
      <w:r w:rsidR="00ED6EF2" w:rsidRPr="00FE708B">
        <w:rPr>
          <w:rFonts w:asciiTheme="minorHAnsi" w:eastAsiaTheme="minorHAnsi" w:hAnsiTheme="minorHAnsi" w:cstheme="minorHAnsi"/>
          <w:lang w:eastAsia="en-US"/>
        </w:rPr>
        <w:t xml:space="preserve"> </w:t>
      </w:r>
      <w:r w:rsidR="005D5838" w:rsidRPr="00FE708B">
        <w:rPr>
          <w:rFonts w:asciiTheme="minorHAnsi" w:eastAsiaTheme="minorHAnsi" w:hAnsiTheme="minorHAnsi" w:cstheme="minorHAnsi"/>
          <w:lang w:eastAsia="en-US"/>
        </w:rPr>
        <w:t xml:space="preserve"> jakości usług i jest realizowany z wykorzystaniem narzędzia elektronicznego – Baza Usług Rozwojowych (BUR </w:t>
      </w:r>
      <w:hyperlink r:id="rId9" w:history="1">
        <w:r w:rsidR="005D5838" w:rsidRPr="00FE708B">
          <w:rPr>
            <w:rStyle w:val="Hipercze"/>
            <w:rFonts w:asciiTheme="minorHAnsi" w:hAnsiTheme="minorHAnsi" w:cstheme="minorHAnsi"/>
          </w:rPr>
          <w:t>https://uslugirozwojowe.parp.gov.pl/</w:t>
        </w:r>
      </w:hyperlink>
      <w:r w:rsidR="005D5838" w:rsidRPr="00FE708B">
        <w:rPr>
          <w:rFonts w:asciiTheme="minorHAnsi" w:hAnsiTheme="minorHAnsi" w:cstheme="minorHAnsi"/>
        </w:rPr>
        <w:t xml:space="preserve">) </w:t>
      </w:r>
    </w:p>
    <w:p w14:paraId="0F1AA72F" w14:textId="799F999D" w:rsidR="00A9762C" w:rsidRPr="00FE708B" w:rsidRDefault="003D2BF9" w:rsidP="00E97F99">
      <w:pPr>
        <w:pStyle w:val="NormalnyWeb"/>
        <w:numPr>
          <w:ilvl w:val="0"/>
          <w:numId w:val="2"/>
        </w:numPr>
        <w:shd w:val="clear" w:color="auto" w:fill="FFFFFF"/>
        <w:spacing w:before="120" w:after="120" w:line="360" w:lineRule="auto"/>
        <w:rPr>
          <w:rFonts w:asciiTheme="minorHAnsi" w:eastAsiaTheme="minorHAnsi" w:hAnsiTheme="minorHAnsi" w:cstheme="minorHAnsi"/>
          <w:lang w:eastAsia="en-US"/>
        </w:rPr>
      </w:pPr>
      <w:r>
        <w:rPr>
          <w:rFonts w:asciiTheme="minorHAnsi" w:eastAsiaTheme="minorHAnsi" w:hAnsiTheme="minorHAnsi" w:cstheme="minorHAnsi"/>
          <w:lang w:eastAsia="en-US"/>
        </w:rPr>
        <w:t>r</w:t>
      </w:r>
      <w:r w:rsidR="005D5838" w:rsidRPr="00FE708B">
        <w:rPr>
          <w:rFonts w:asciiTheme="minorHAnsi" w:eastAsiaTheme="minorHAnsi" w:hAnsiTheme="minorHAnsi" w:cstheme="minorHAnsi"/>
          <w:lang w:eastAsia="en-US"/>
        </w:rPr>
        <w:t>egionalny –  jest to</w:t>
      </w:r>
      <w:r w:rsidR="00393619" w:rsidRPr="00FE708B">
        <w:rPr>
          <w:rFonts w:asciiTheme="minorHAnsi" w:eastAsiaTheme="minorHAnsi" w:hAnsiTheme="minorHAnsi" w:cstheme="minorHAnsi"/>
          <w:lang w:eastAsia="en-US"/>
        </w:rPr>
        <w:t xml:space="preserve"> tzw. </w:t>
      </w:r>
      <w:r w:rsidR="005D5838" w:rsidRPr="00FE708B">
        <w:rPr>
          <w:rFonts w:asciiTheme="minorHAnsi" w:eastAsiaTheme="minorHAnsi" w:hAnsiTheme="minorHAnsi" w:cstheme="minorHAnsi"/>
          <w:lang w:eastAsia="en-US"/>
        </w:rPr>
        <w:t xml:space="preserve">Podmiotowy System Finansowania (PSF) i dotyczy dystrybucji środków EFS przeznaczonych na wspieranie rozwoju </w:t>
      </w:r>
      <w:r w:rsidR="00393619" w:rsidRPr="00FE708B">
        <w:rPr>
          <w:rFonts w:asciiTheme="minorHAnsi" w:eastAsiaTheme="minorHAnsi" w:hAnsiTheme="minorHAnsi" w:cstheme="minorHAnsi"/>
          <w:lang w:eastAsia="en-US"/>
        </w:rPr>
        <w:t xml:space="preserve">kadr </w:t>
      </w:r>
      <w:r w:rsidR="005D5838" w:rsidRPr="00FE708B">
        <w:rPr>
          <w:rFonts w:asciiTheme="minorHAnsi" w:eastAsiaTheme="minorHAnsi" w:hAnsiTheme="minorHAnsi" w:cstheme="minorHAnsi"/>
          <w:lang w:eastAsia="en-US"/>
        </w:rPr>
        <w:t>przedsiębiorstw. PSF funkcjonuje w 14 województwach</w:t>
      </w:r>
      <w:r w:rsidR="00AD02D6" w:rsidRPr="00FE708B">
        <w:rPr>
          <w:rStyle w:val="Odwoanieprzypisudolnego"/>
          <w:rFonts w:asciiTheme="minorHAnsi" w:eastAsiaTheme="minorHAnsi" w:hAnsiTheme="minorHAnsi" w:cstheme="minorHAnsi"/>
          <w:lang w:eastAsia="en-US"/>
        </w:rPr>
        <w:footnoteReference w:id="3"/>
      </w:r>
      <w:r w:rsidR="005D5838" w:rsidRPr="00FE708B">
        <w:rPr>
          <w:rFonts w:asciiTheme="minorHAnsi" w:eastAsiaTheme="minorHAnsi" w:hAnsiTheme="minorHAnsi" w:cstheme="minorHAnsi"/>
          <w:lang w:eastAsia="en-US"/>
        </w:rPr>
        <w:t xml:space="preserve">. </w:t>
      </w:r>
    </w:p>
    <w:p w14:paraId="0C8C6E20" w14:textId="77777777" w:rsidR="00A9762C" w:rsidRPr="00FE708B" w:rsidRDefault="00A9762C" w:rsidP="001B56C4">
      <w:pPr>
        <w:pStyle w:val="N2"/>
        <w:rPr>
          <w:rFonts w:asciiTheme="minorHAnsi" w:hAnsiTheme="minorHAnsi" w:cstheme="minorHAnsi"/>
        </w:rPr>
      </w:pPr>
      <w:bookmarkStart w:id="2" w:name="_Toc8896923"/>
      <w:r w:rsidRPr="00FE708B">
        <w:rPr>
          <w:rFonts w:asciiTheme="minorHAnsi" w:hAnsiTheme="minorHAnsi" w:cstheme="minorHAnsi"/>
        </w:rPr>
        <w:t>Zasady działania</w:t>
      </w:r>
      <w:bookmarkEnd w:id="2"/>
      <w:r w:rsidRPr="00FE708B">
        <w:rPr>
          <w:rFonts w:asciiTheme="minorHAnsi" w:hAnsiTheme="minorHAnsi" w:cstheme="minorHAnsi"/>
        </w:rPr>
        <w:t xml:space="preserve"> </w:t>
      </w:r>
    </w:p>
    <w:p w14:paraId="02697002" w14:textId="77777777" w:rsidR="00A9762C" w:rsidRPr="00FE708B" w:rsidRDefault="00393619" w:rsidP="00E97F99">
      <w:pPr>
        <w:pStyle w:val="NormalnyWeb"/>
        <w:shd w:val="clear" w:color="auto" w:fill="FFFFFF"/>
        <w:spacing w:before="120" w:after="120" w:line="360" w:lineRule="auto"/>
        <w:rPr>
          <w:rFonts w:asciiTheme="minorHAnsi" w:hAnsiTheme="minorHAnsi" w:cstheme="minorHAnsi"/>
        </w:rPr>
      </w:pPr>
      <w:r w:rsidRPr="00FE708B">
        <w:rPr>
          <w:rFonts w:asciiTheme="minorHAnsi" w:eastAsiaTheme="minorHAnsi" w:hAnsiTheme="minorHAnsi" w:cstheme="minorHAnsi"/>
          <w:lang w:eastAsia="en-US"/>
        </w:rPr>
        <w:t>BUR</w:t>
      </w:r>
      <w:r w:rsidR="00A9762C" w:rsidRPr="00FE708B">
        <w:rPr>
          <w:rFonts w:asciiTheme="minorHAnsi" w:eastAsiaTheme="minorHAnsi" w:hAnsiTheme="minorHAnsi" w:cstheme="minorHAnsi"/>
          <w:lang w:eastAsia="en-US"/>
        </w:rPr>
        <w:t xml:space="preserve"> jest platformą, na której znajduje się oferta podmiotów świadczących usługi rozwojowe, przy czym usługodawca, który zamierza publikować swoją ofertę za pośrednictwem BUR musi spełniać określone kryteria, zgodnie z regulaminem Bazy </w:t>
      </w:r>
      <w:hyperlink r:id="rId10" w:history="1">
        <w:r w:rsidR="00A9762C" w:rsidRPr="00FE708B">
          <w:rPr>
            <w:rStyle w:val="Hipercze"/>
            <w:rFonts w:asciiTheme="minorHAnsi" w:hAnsiTheme="minorHAnsi" w:cstheme="minorHAnsi"/>
          </w:rPr>
          <w:t>https://serwis-uslugirozwojowe.parp.gov.pl/informacje-o-portalu/regulamin</w:t>
        </w:r>
      </w:hyperlink>
    </w:p>
    <w:p w14:paraId="21FAC0EA" w14:textId="064C4518" w:rsidR="00A9762C" w:rsidRPr="00FE708B" w:rsidRDefault="00A976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Usługi są ujęte w 12 kategoriach </w:t>
      </w:r>
      <w:r w:rsidR="007164F3" w:rsidRPr="00FE708B">
        <w:rPr>
          <w:rFonts w:asciiTheme="minorHAnsi" w:eastAsiaTheme="minorHAnsi" w:hAnsiTheme="minorHAnsi" w:cstheme="minorHAnsi"/>
          <w:lang w:eastAsia="en-US"/>
        </w:rPr>
        <w:t>tematycznych, każda dodatkowo została podzielona na podkategorie; liczba podkategorii w ramach kategorii jest zróżnicowana,</w:t>
      </w:r>
      <w:r w:rsidR="003D2BF9">
        <w:rPr>
          <w:rFonts w:asciiTheme="minorHAnsi" w:eastAsiaTheme="minorHAnsi" w:hAnsiTheme="minorHAnsi" w:cstheme="minorHAnsi"/>
          <w:lang w:eastAsia="en-US"/>
        </w:rPr>
        <w:t xml:space="preserve"> np. E</w:t>
      </w:r>
      <w:r w:rsidR="007164F3" w:rsidRPr="00FE708B">
        <w:rPr>
          <w:rFonts w:asciiTheme="minorHAnsi" w:eastAsiaTheme="minorHAnsi" w:hAnsiTheme="minorHAnsi" w:cstheme="minorHAnsi"/>
          <w:lang w:eastAsia="en-US"/>
        </w:rPr>
        <w:t xml:space="preserve">kologia </w:t>
      </w:r>
      <w:r w:rsidR="003D2BF9">
        <w:rPr>
          <w:rFonts w:asciiTheme="minorHAnsi" w:eastAsiaTheme="minorHAnsi" w:hAnsiTheme="minorHAnsi" w:cstheme="minorHAnsi"/>
          <w:lang w:eastAsia="en-US"/>
        </w:rPr>
        <w:br/>
      </w:r>
      <w:r w:rsidR="007164F3" w:rsidRPr="00FE708B">
        <w:rPr>
          <w:rFonts w:asciiTheme="minorHAnsi" w:eastAsiaTheme="minorHAnsi" w:hAnsiTheme="minorHAnsi" w:cstheme="minorHAnsi"/>
          <w:lang w:eastAsia="en-US"/>
        </w:rPr>
        <w:t>i rolnictwo zawiera 3 podkategorie, a Finanse i ba</w:t>
      </w:r>
      <w:r w:rsidR="00D97BD0" w:rsidRPr="00FE708B">
        <w:rPr>
          <w:rFonts w:asciiTheme="minorHAnsi" w:eastAsiaTheme="minorHAnsi" w:hAnsiTheme="minorHAnsi" w:cstheme="minorHAnsi"/>
          <w:lang w:eastAsia="en-US"/>
        </w:rPr>
        <w:t>n</w:t>
      </w:r>
      <w:r w:rsidR="007164F3" w:rsidRPr="00FE708B">
        <w:rPr>
          <w:rFonts w:asciiTheme="minorHAnsi" w:eastAsiaTheme="minorHAnsi" w:hAnsiTheme="minorHAnsi" w:cstheme="minorHAnsi"/>
          <w:lang w:eastAsia="en-US"/>
        </w:rPr>
        <w:t xml:space="preserve">kowość 9 podkategorii. </w:t>
      </w:r>
    </w:p>
    <w:p w14:paraId="2BC78FBA" w14:textId="05AEA3A6" w:rsidR="00D761AC" w:rsidRPr="00FE708B" w:rsidRDefault="00D761A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Aby skorzystać z </w:t>
      </w:r>
      <w:r w:rsidR="00AD02D6" w:rsidRPr="00FE708B">
        <w:rPr>
          <w:rFonts w:asciiTheme="minorHAnsi" w:eastAsiaTheme="minorHAnsi" w:hAnsiTheme="minorHAnsi" w:cstheme="minorHAnsi"/>
          <w:lang w:eastAsia="en-US"/>
        </w:rPr>
        <w:t xml:space="preserve">dofinansowania (w ramach PSF) </w:t>
      </w:r>
      <w:r w:rsidRPr="00FE708B">
        <w:rPr>
          <w:rFonts w:asciiTheme="minorHAnsi" w:eastAsiaTheme="minorHAnsi" w:hAnsiTheme="minorHAnsi" w:cstheme="minorHAnsi"/>
          <w:lang w:eastAsia="en-US"/>
        </w:rPr>
        <w:t>usług rozwojowych znajdujących się w BUR</w:t>
      </w:r>
      <w:r w:rsidR="00394265"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przedsiębiorcy</w:t>
      </w:r>
      <w:r w:rsidR="00AC6E95" w:rsidRPr="00FE708B">
        <w:rPr>
          <w:rFonts w:asciiTheme="minorHAnsi" w:eastAsiaTheme="minorHAnsi" w:hAnsiTheme="minorHAnsi" w:cstheme="minorHAnsi"/>
          <w:vertAlign w:val="superscript"/>
        </w:rPr>
        <w:footnoteReference w:id="4"/>
      </w:r>
      <w:r w:rsidRPr="00FE708B">
        <w:rPr>
          <w:rFonts w:asciiTheme="minorHAnsi" w:eastAsiaTheme="minorHAnsi" w:hAnsiTheme="minorHAnsi" w:cstheme="minorHAnsi"/>
          <w:lang w:eastAsia="en-US"/>
        </w:rPr>
        <w:t xml:space="preserve"> muszą się zarejestrować w Bazie</w:t>
      </w:r>
      <w:r w:rsidR="00AD02D6" w:rsidRPr="00FE708B">
        <w:rPr>
          <w:rFonts w:asciiTheme="minorHAnsi" w:eastAsiaTheme="minorHAnsi" w:hAnsiTheme="minorHAnsi" w:cstheme="minorHAnsi"/>
          <w:lang w:eastAsia="en-US"/>
        </w:rPr>
        <w:t>.</w:t>
      </w:r>
      <w:r w:rsidR="00AC6E95" w:rsidRPr="00FE708B">
        <w:rPr>
          <w:rFonts w:asciiTheme="minorHAnsi" w:eastAsiaTheme="minorHAnsi" w:hAnsiTheme="minorHAnsi" w:cstheme="minorHAnsi"/>
          <w:lang w:eastAsia="en-US"/>
        </w:rPr>
        <w:t xml:space="preserve"> Ponadto w niektórych województwach (małopolskie, podlaskie i podkarpackie) z dofinansowania usług rozwojowych (w ramach PSF) mogą również skorzystać osoby fizyczne</w:t>
      </w:r>
      <w:r w:rsidR="00AC6E95" w:rsidRPr="00FE708B">
        <w:rPr>
          <w:rFonts w:asciiTheme="minorHAnsi" w:eastAsiaTheme="minorHAnsi" w:hAnsiTheme="minorHAnsi" w:cstheme="minorHAnsi"/>
          <w:vertAlign w:val="superscript"/>
        </w:rPr>
        <w:footnoteReference w:id="5"/>
      </w:r>
      <w:r w:rsidR="00AC6E95" w:rsidRPr="00FE708B">
        <w:rPr>
          <w:rFonts w:asciiTheme="minorHAnsi" w:eastAsiaTheme="minorHAnsi" w:hAnsiTheme="minorHAnsi" w:cstheme="minorHAnsi"/>
          <w:lang w:eastAsia="en-US"/>
        </w:rPr>
        <w:t>.</w:t>
      </w:r>
      <w:r w:rsidR="00AD02D6" w:rsidRPr="00FE708B">
        <w:rPr>
          <w:rFonts w:asciiTheme="minorHAnsi" w:eastAsiaTheme="minorHAnsi" w:hAnsiTheme="minorHAnsi" w:cstheme="minorHAnsi"/>
          <w:lang w:eastAsia="en-US"/>
        </w:rPr>
        <w:t xml:space="preserve"> Firmy świadczące </w:t>
      </w:r>
      <w:r w:rsidR="00AC6E95" w:rsidRPr="00FE708B">
        <w:rPr>
          <w:rFonts w:asciiTheme="minorHAnsi" w:eastAsiaTheme="minorHAnsi" w:hAnsiTheme="minorHAnsi" w:cstheme="minorHAnsi"/>
          <w:lang w:eastAsia="en-US"/>
        </w:rPr>
        <w:t>usługi rozwojowe (które mają podlegać dofinansowaniu)</w:t>
      </w:r>
      <w:r w:rsidR="00AD02D6" w:rsidRPr="00FE708B">
        <w:rPr>
          <w:rFonts w:asciiTheme="minorHAnsi" w:eastAsiaTheme="minorHAnsi" w:hAnsiTheme="minorHAnsi" w:cstheme="minorHAnsi"/>
          <w:lang w:eastAsia="en-US"/>
        </w:rPr>
        <w:t xml:space="preserve"> muszą spełniać określone warunki, tj. posiadać potencjał techniczny do należytego świadczenia usług, posiadać potencjał ekonomiczny niezbędny do należytego świadczenia usług, posiadać potencjał kadrowy – zapewniać realizację usług przez osoby posiadające niezbędne kwalifikacje, przestrzegać zasad etyki zawodowej, posiadać system zapewnienia jakości usług</w:t>
      </w:r>
      <w:r w:rsidR="00AD02D6" w:rsidRPr="00FE708B">
        <w:rPr>
          <w:rFonts w:asciiTheme="minorHAnsi" w:eastAsiaTheme="minorHAnsi" w:hAnsiTheme="minorHAnsi" w:cstheme="minorHAnsi"/>
          <w:vertAlign w:val="superscript"/>
        </w:rPr>
        <w:footnoteReference w:id="6"/>
      </w:r>
      <w:r w:rsidR="00AC6E95" w:rsidRPr="00FE708B">
        <w:rPr>
          <w:rFonts w:asciiTheme="minorHAnsi" w:eastAsiaTheme="minorHAnsi" w:hAnsiTheme="minorHAnsi" w:cstheme="minorHAnsi"/>
          <w:lang w:eastAsia="en-US"/>
        </w:rPr>
        <w:t>.</w:t>
      </w:r>
      <w:r w:rsidR="00AD02D6"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W ramach tego systemu w regionach działają Operatorzy</w:t>
      </w:r>
      <w:r w:rsidR="00193FF0" w:rsidRPr="00FE708B">
        <w:rPr>
          <w:rFonts w:asciiTheme="minorHAnsi" w:eastAsiaTheme="minorHAnsi" w:hAnsiTheme="minorHAnsi" w:cstheme="minorHAnsi"/>
          <w:lang w:eastAsia="en-US"/>
        </w:rPr>
        <w:t xml:space="preserve"> PSF (dalej: </w:t>
      </w:r>
      <w:r w:rsidR="003D2BF9">
        <w:rPr>
          <w:rFonts w:asciiTheme="minorHAnsi" w:eastAsiaTheme="minorHAnsi" w:hAnsiTheme="minorHAnsi" w:cstheme="minorHAnsi"/>
          <w:lang w:eastAsia="en-US"/>
        </w:rPr>
        <w:t>O</w:t>
      </w:r>
      <w:r w:rsidR="00193FF0" w:rsidRPr="00FE708B">
        <w:rPr>
          <w:rFonts w:asciiTheme="minorHAnsi" w:eastAsiaTheme="minorHAnsi" w:hAnsiTheme="minorHAnsi" w:cstheme="minorHAnsi"/>
          <w:lang w:eastAsia="en-US"/>
        </w:rPr>
        <w:t>perator)</w:t>
      </w:r>
      <w:r w:rsidRPr="00FE708B">
        <w:rPr>
          <w:rFonts w:asciiTheme="minorHAnsi" w:eastAsiaTheme="minorHAnsi" w:hAnsiTheme="minorHAnsi" w:cstheme="minorHAnsi"/>
          <w:lang w:eastAsia="en-US"/>
        </w:rPr>
        <w:t>, do których zadań należy kompleksowa obsługa przedsiębiorcy, m.in. przyjmowanie, ocenianie i rozliczanie wniosków o wsparcie, działania kontrolne oraz monitoringowe (</w:t>
      </w:r>
      <w:r w:rsidR="00193FF0" w:rsidRPr="00FE708B">
        <w:rPr>
          <w:rFonts w:asciiTheme="minorHAnsi" w:eastAsiaTheme="minorHAnsi" w:hAnsiTheme="minorHAnsi" w:cstheme="minorHAnsi"/>
          <w:lang w:eastAsia="en-US"/>
        </w:rPr>
        <w:t xml:space="preserve">np. sprawdzenie faktycznego dostarczenia usługi rozwojowej i jej zgodności ze standardami określonymi m.in. w Karcie Usługi oraz czy w usłudze biorą udział uczestnicy wskazani przez przedsiębiorcę itp.). Funkcję tę może pełnić jednostka organizacyjna urzędu marszałkowskiego (np. taka sytuacja ma miejsce w woj. podlaskim) lub podmiot (lub podmioty) zewnętrzny, wyłoniony w drodze konkursu. </w:t>
      </w:r>
    </w:p>
    <w:p w14:paraId="21E19E53" w14:textId="13FF91BB" w:rsidR="00D761AC" w:rsidRPr="00FE708B" w:rsidRDefault="00D761A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 ramach PSF funkcjonują różne modele dystrybucji środków</w:t>
      </w:r>
      <w:r w:rsidR="004B7ABA" w:rsidRPr="00FE708B">
        <w:rPr>
          <w:rFonts w:asciiTheme="minorHAnsi" w:eastAsiaTheme="minorHAnsi" w:hAnsiTheme="minorHAnsi" w:cstheme="minorHAnsi"/>
          <w:lang w:eastAsia="en-US"/>
        </w:rPr>
        <w:t xml:space="preserve">. Mogą występować </w:t>
      </w:r>
      <w:r w:rsidRPr="00FE708B">
        <w:rPr>
          <w:rFonts w:asciiTheme="minorHAnsi" w:eastAsiaTheme="minorHAnsi" w:hAnsiTheme="minorHAnsi" w:cstheme="minorHAnsi"/>
          <w:lang w:eastAsia="en-US"/>
        </w:rPr>
        <w:t>również różnice (w zależności od województwa) w zakresie kryteriów wyboru Operatora, liczby Operatorów, jak również warunków przyznawania wsparcia. Istotne jednak jest, że zasadniczo można wyróżnić 3 modele</w:t>
      </w:r>
      <w:r w:rsidR="004B7ABA" w:rsidRPr="00FE708B">
        <w:rPr>
          <w:rFonts w:asciiTheme="minorHAnsi" w:eastAsiaTheme="minorHAnsi" w:hAnsiTheme="minorHAnsi" w:cstheme="minorHAnsi"/>
          <w:lang w:eastAsia="en-US"/>
        </w:rPr>
        <w:t xml:space="preserve"> dystrybucji środków</w:t>
      </w:r>
      <w:r w:rsidRPr="00FE708B">
        <w:rPr>
          <w:rFonts w:asciiTheme="minorHAnsi" w:eastAsiaTheme="minorHAnsi" w:hAnsiTheme="minorHAnsi" w:cstheme="minorHAnsi"/>
          <w:lang w:eastAsia="en-US"/>
        </w:rPr>
        <w:t>:</w:t>
      </w:r>
    </w:p>
    <w:p w14:paraId="6783A221" w14:textId="77777777" w:rsidR="008B7737" w:rsidRPr="00FE708B" w:rsidRDefault="008B7737" w:rsidP="00E97F99">
      <w:pPr>
        <w:pStyle w:val="NormalnyWeb"/>
        <w:keepNext/>
        <w:numPr>
          <w:ilvl w:val="0"/>
          <w:numId w:val="3"/>
        </w:numPr>
        <w:shd w:val="clear" w:color="auto" w:fill="FFFFFF"/>
        <w:spacing w:before="120" w:after="120" w:line="360" w:lineRule="auto"/>
        <w:ind w:left="765" w:hanging="357"/>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Refundacja (obecna w 10 województwach</w:t>
      </w:r>
      <w:r w:rsidR="00193FF0" w:rsidRPr="00FE708B">
        <w:rPr>
          <w:rFonts w:asciiTheme="minorHAnsi" w:eastAsiaTheme="minorHAnsi" w:hAnsiTheme="minorHAnsi" w:cstheme="minorHAnsi"/>
          <w:lang w:eastAsia="en-US"/>
        </w:rPr>
        <w:t xml:space="preserve">: </w:t>
      </w:r>
      <w:r w:rsidR="00B00CF8" w:rsidRPr="00FE708B">
        <w:rPr>
          <w:rFonts w:asciiTheme="minorHAnsi" w:eastAsiaTheme="minorHAnsi" w:hAnsiTheme="minorHAnsi" w:cstheme="minorHAnsi"/>
          <w:lang w:eastAsia="en-US"/>
        </w:rPr>
        <w:t>dolnośląskie, kujawsko-pomorskie, lubelskie, opolskie, podkarpackie,</w:t>
      </w:r>
      <w:r w:rsidR="005769A6" w:rsidRPr="00FE708B">
        <w:rPr>
          <w:rFonts w:asciiTheme="minorHAnsi" w:eastAsiaTheme="minorHAnsi" w:hAnsiTheme="minorHAnsi" w:cstheme="minorHAnsi"/>
          <w:lang w:eastAsia="en-US"/>
        </w:rPr>
        <w:t xml:space="preserve"> podlaskie,</w:t>
      </w:r>
      <w:r w:rsidR="00B00CF8" w:rsidRPr="00FE708B">
        <w:rPr>
          <w:rFonts w:asciiTheme="minorHAnsi" w:eastAsiaTheme="minorHAnsi" w:hAnsiTheme="minorHAnsi" w:cstheme="minorHAnsi"/>
          <w:lang w:eastAsia="en-US"/>
        </w:rPr>
        <w:t xml:space="preserve"> świętokrzyskie, warmińsko-mazurskie</w:t>
      </w:r>
      <w:r w:rsidR="005769A6" w:rsidRPr="00FE708B">
        <w:rPr>
          <w:rFonts w:asciiTheme="minorHAnsi" w:eastAsiaTheme="minorHAnsi" w:hAnsiTheme="minorHAnsi" w:cstheme="minorHAnsi"/>
          <w:lang w:eastAsia="en-US"/>
        </w:rPr>
        <w:t>, wielkopolskie, zachodniopomorskie</w:t>
      </w:r>
      <w:r w:rsidRPr="00FE708B">
        <w:rPr>
          <w:rFonts w:asciiTheme="minorHAnsi" w:eastAsiaTheme="minorHAnsi" w:hAnsiTheme="minorHAnsi" w:cstheme="minorHAnsi"/>
          <w:lang w:eastAsia="en-US"/>
        </w:rPr>
        <w:t xml:space="preserve">) </w:t>
      </w:r>
    </w:p>
    <w:p w14:paraId="3FEFACDF" w14:textId="77777777" w:rsidR="008B7737" w:rsidRPr="00FE708B" w:rsidRDefault="00F13B87"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Century Gothic" w:eastAsia="Century Gothic" w:hAnsi="Century Gothic" w:cs="Arial"/>
          <w:b/>
          <w:i/>
          <w:noProof/>
          <w:color w:val="EA6312"/>
          <w:sz w:val="20"/>
          <w:szCs w:val="20"/>
        </w:rPr>
        <w:drawing>
          <wp:inline distT="0" distB="0" distL="0" distR="0" wp14:anchorId="49F61DC0" wp14:editId="01E0339C">
            <wp:extent cx="5760000" cy="2757600"/>
            <wp:effectExtent l="0" t="0" r="12700" b="24130"/>
            <wp:docPr id="489" name="Diagram 48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8C7BB87" w14:textId="77777777" w:rsidR="008B7737" w:rsidRPr="00FE708B" w:rsidRDefault="005B5DBC" w:rsidP="008B7737">
      <w:pPr>
        <w:pStyle w:val="NormalnyWeb"/>
        <w:shd w:val="clear" w:color="auto" w:fill="FFFFFF"/>
        <w:spacing w:before="120" w:after="120" w:line="360" w:lineRule="auto"/>
        <w:ind w:left="284"/>
        <w:rPr>
          <w:rFonts w:asciiTheme="minorHAnsi" w:eastAsiaTheme="minorHAnsi" w:hAnsiTheme="minorHAnsi" w:cstheme="minorHAnsi"/>
          <w:lang w:eastAsia="en-US"/>
        </w:rPr>
      </w:pPr>
      <w:r w:rsidRPr="00FE708B">
        <w:rPr>
          <w:rFonts w:asciiTheme="minorHAnsi" w:eastAsiaTheme="minorHAnsi" w:hAnsiTheme="minorHAnsi" w:cstheme="minorHAnsi"/>
          <w:i/>
          <w:lang w:eastAsia="en-US"/>
        </w:rPr>
        <w:t xml:space="preserve">* </w:t>
      </w:r>
      <w:r w:rsidR="008B7737" w:rsidRPr="00FE708B">
        <w:rPr>
          <w:rFonts w:asciiTheme="minorHAnsi" w:eastAsiaTheme="minorHAnsi" w:hAnsiTheme="minorHAnsi" w:cstheme="minorHAnsi"/>
          <w:i/>
          <w:lang w:eastAsia="en-US"/>
        </w:rPr>
        <w:t>Operator – podmiot odpowiedzialny za kompleksową obsługę przedsiębiorcy.</w:t>
      </w:r>
      <w:r w:rsidR="008B7737" w:rsidRPr="00FE708B">
        <w:rPr>
          <w:rFonts w:asciiTheme="minorHAnsi" w:eastAsiaTheme="minorHAnsi" w:hAnsiTheme="minorHAnsi" w:cstheme="minorHAnsi"/>
          <w:lang w:eastAsia="en-US"/>
        </w:rPr>
        <w:t xml:space="preserve"> </w:t>
      </w:r>
    </w:p>
    <w:p w14:paraId="5172260C" w14:textId="77777777" w:rsidR="00F13B87" w:rsidRPr="00FE708B" w:rsidRDefault="00F13B87" w:rsidP="00F13B87">
      <w:pPr>
        <w:pStyle w:val="NormalnyWeb"/>
        <w:shd w:val="clear" w:color="auto" w:fill="FFFFFF"/>
        <w:spacing w:before="120" w:after="120" w:line="360" w:lineRule="auto"/>
        <w:rPr>
          <w:rFonts w:asciiTheme="minorHAnsi" w:eastAsiaTheme="minorHAnsi" w:hAnsiTheme="minorHAnsi" w:cstheme="minorHAnsi"/>
          <w:i/>
          <w:lang w:eastAsia="en-US"/>
        </w:rPr>
      </w:pPr>
      <w:r w:rsidRPr="00FE708B">
        <w:rPr>
          <w:rFonts w:asciiTheme="minorHAnsi" w:eastAsiaTheme="minorHAnsi" w:hAnsiTheme="minorHAnsi" w:cstheme="minorHAnsi"/>
          <w:i/>
          <w:lang w:eastAsia="en-US"/>
        </w:rPr>
        <w:t xml:space="preserve">Źródło: Ewaluacja pn. „Wpływ Bazy Usług Rozwojowych na jakość i dostępność usług rozwojowych świadczonych na rzecz przedsiębiorców i pracowników, z uwzględnieniem oddziaływania Podmiotowego Systemu Finansowania”, Warszawa, grudzień 2017 r. </w:t>
      </w:r>
    </w:p>
    <w:p w14:paraId="232A8BCE" w14:textId="77777777" w:rsidR="008B7737" w:rsidRPr="00FE708B" w:rsidRDefault="008B7737" w:rsidP="008B7737">
      <w:pPr>
        <w:pStyle w:val="NormalnyWeb"/>
        <w:shd w:val="clear" w:color="auto" w:fill="FFFFFF"/>
        <w:spacing w:before="120" w:after="120" w:line="360" w:lineRule="auto"/>
        <w:ind w:left="284"/>
        <w:rPr>
          <w:rFonts w:asciiTheme="minorHAnsi" w:eastAsiaTheme="minorHAnsi" w:hAnsiTheme="minorHAnsi" w:cstheme="minorHAnsi"/>
          <w:sz w:val="20"/>
          <w:szCs w:val="20"/>
          <w:lang w:eastAsia="en-US"/>
        </w:rPr>
      </w:pPr>
    </w:p>
    <w:p w14:paraId="32421176" w14:textId="77777777" w:rsidR="00D761AC" w:rsidRPr="00FE708B" w:rsidRDefault="00FB06CF" w:rsidP="00BE1538">
      <w:pPr>
        <w:pStyle w:val="NormalnyWeb"/>
        <w:keepNext/>
        <w:numPr>
          <w:ilvl w:val="0"/>
          <w:numId w:val="3"/>
        </w:numPr>
        <w:shd w:val="clear" w:color="auto" w:fill="FFFFFF"/>
        <w:spacing w:before="120" w:after="120" w:line="360" w:lineRule="auto"/>
        <w:ind w:left="765" w:hanging="357"/>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Bony (obecne w 3 województwach</w:t>
      </w:r>
      <w:r w:rsidR="005769A6" w:rsidRPr="00FE708B">
        <w:rPr>
          <w:rFonts w:asciiTheme="minorHAnsi" w:eastAsiaTheme="minorHAnsi" w:hAnsiTheme="minorHAnsi" w:cstheme="minorHAnsi"/>
          <w:lang w:eastAsia="en-US"/>
        </w:rPr>
        <w:t>: lubuskie, łódzkie, małopolskie</w:t>
      </w:r>
      <w:r w:rsidRPr="00FE708B">
        <w:rPr>
          <w:rFonts w:asciiTheme="minorHAnsi" w:eastAsiaTheme="minorHAnsi" w:hAnsiTheme="minorHAnsi" w:cstheme="minorHAnsi"/>
          <w:lang w:eastAsia="en-US"/>
        </w:rPr>
        <w:t>)</w:t>
      </w:r>
    </w:p>
    <w:p w14:paraId="2BA4BB7A" w14:textId="77777777" w:rsidR="00FB06CF" w:rsidRPr="00FE708B" w:rsidRDefault="00F13B87" w:rsidP="00F13B87">
      <w:pPr>
        <w:pStyle w:val="NormalnyWeb"/>
        <w:shd w:val="clear" w:color="auto" w:fill="FFFFFF"/>
        <w:spacing w:before="120" w:after="120" w:line="360" w:lineRule="auto"/>
        <w:ind w:left="142"/>
        <w:jc w:val="center"/>
        <w:rPr>
          <w:rFonts w:asciiTheme="minorHAnsi" w:eastAsiaTheme="minorHAnsi" w:hAnsiTheme="minorHAnsi" w:cstheme="minorHAnsi"/>
          <w:lang w:eastAsia="en-US"/>
        </w:rPr>
      </w:pPr>
      <w:r w:rsidRPr="00FE708B">
        <w:rPr>
          <w:rFonts w:ascii="Century Gothic" w:eastAsia="Century Gothic" w:hAnsi="Century Gothic" w:cs="Arial"/>
          <w:b/>
          <w:i/>
          <w:noProof/>
          <w:color w:val="EA6312"/>
          <w:sz w:val="20"/>
          <w:szCs w:val="20"/>
        </w:rPr>
        <w:drawing>
          <wp:inline distT="0" distB="0" distL="0" distR="0" wp14:anchorId="11288785" wp14:editId="5AE3B45C">
            <wp:extent cx="5760720" cy="2758440"/>
            <wp:effectExtent l="0" t="0" r="0" b="22860"/>
            <wp:docPr id="488" name="Diagram 48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9B90877" w14:textId="77777777" w:rsidR="00FB06CF" w:rsidRPr="00FE708B" w:rsidRDefault="00F13B87" w:rsidP="00E97F99">
      <w:pPr>
        <w:pStyle w:val="NormalnyWeb"/>
        <w:shd w:val="clear" w:color="auto" w:fill="FFFFFF"/>
        <w:spacing w:before="120" w:after="120" w:line="360" w:lineRule="auto"/>
        <w:rPr>
          <w:rFonts w:asciiTheme="minorHAnsi" w:eastAsiaTheme="minorHAnsi" w:hAnsiTheme="minorHAnsi" w:cstheme="minorHAnsi"/>
          <w:i/>
          <w:lang w:eastAsia="en-US"/>
        </w:rPr>
      </w:pPr>
      <w:r w:rsidRPr="00FE708B">
        <w:rPr>
          <w:rFonts w:asciiTheme="minorHAnsi" w:eastAsiaTheme="minorHAnsi" w:hAnsiTheme="minorHAnsi" w:cstheme="minorHAnsi"/>
          <w:i/>
          <w:lang w:eastAsia="en-US"/>
        </w:rPr>
        <w:lastRenderedPageBreak/>
        <w:t>Źródło: Ewaluacja pn. „Wpływ Bazy Usług Rozwojowych na jakość i dostępność usług rozwojowych świadczonych na rzecz przedsiębiorców i pracowników, z uwzględnieniem oddziaływania Podmiotowego Systemu Finansowani</w:t>
      </w:r>
      <w:r w:rsidR="00F63448" w:rsidRPr="00FE708B">
        <w:rPr>
          <w:rFonts w:asciiTheme="minorHAnsi" w:eastAsiaTheme="minorHAnsi" w:hAnsiTheme="minorHAnsi" w:cstheme="minorHAnsi"/>
          <w:i/>
          <w:lang w:eastAsia="en-US"/>
        </w:rPr>
        <w:t xml:space="preserve">a”, Warszawa, grudzień 2017 r. </w:t>
      </w:r>
    </w:p>
    <w:p w14:paraId="7A86B291" w14:textId="77777777" w:rsidR="00FB06CF" w:rsidRPr="00FE708B" w:rsidRDefault="00FB06CF" w:rsidP="00E97F99">
      <w:pPr>
        <w:pStyle w:val="NormalnyWeb"/>
        <w:numPr>
          <w:ilvl w:val="0"/>
          <w:numId w:val="3"/>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Konto przedpłacone (obecne w 1 województwie</w:t>
      </w:r>
      <w:r w:rsidR="005769A6" w:rsidRPr="00FE708B">
        <w:rPr>
          <w:rFonts w:asciiTheme="minorHAnsi" w:eastAsiaTheme="minorHAnsi" w:hAnsiTheme="minorHAnsi" w:cstheme="minorHAnsi"/>
          <w:lang w:eastAsia="en-US"/>
        </w:rPr>
        <w:t>: śląskie</w:t>
      </w:r>
      <w:r w:rsidRPr="00FE708B">
        <w:rPr>
          <w:rFonts w:asciiTheme="minorHAnsi" w:eastAsiaTheme="minorHAnsi" w:hAnsiTheme="minorHAnsi" w:cstheme="minorHAnsi"/>
          <w:lang w:eastAsia="en-US"/>
        </w:rPr>
        <w:t>)</w:t>
      </w:r>
    </w:p>
    <w:p w14:paraId="1C7D4FC0" w14:textId="77777777" w:rsidR="00FB06CF" w:rsidRPr="00FE708B" w:rsidRDefault="00F13B87" w:rsidP="00E97F99">
      <w:pPr>
        <w:pStyle w:val="NormalnyWeb"/>
        <w:shd w:val="clear" w:color="auto" w:fill="FFFFFF"/>
        <w:spacing w:before="120" w:after="120" w:line="360" w:lineRule="auto"/>
        <w:ind w:left="567"/>
        <w:jc w:val="center"/>
        <w:rPr>
          <w:rFonts w:asciiTheme="minorHAnsi" w:eastAsiaTheme="minorHAnsi" w:hAnsiTheme="minorHAnsi" w:cstheme="minorHAnsi"/>
          <w:lang w:eastAsia="en-US"/>
        </w:rPr>
      </w:pPr>
      <w:r w:rsidRPr="00FE708B">
        <w:rPr>
          <w:noProof/>
          <w:sz w:val="20"/>
          <w:szCs w:val="20"/>
        </w:rPr>
        <w:drawing>
          <wp:inline distT="0" distB="0" distL="0" distR="0" wp14:anchorId="6C8B235B" wp14:editId="30D85684">
            <wp:extent cx="5760720" cy="5664530"/>
            <wp:effectExtent l="0" t="0" r="68580" b="0"/>
            <wp:docPr id="8" name="Obraz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E6941F5" w14:textId="77777777" w:rsidR="00393619" w:rsidRPr="00FE708B" w:rsidRDefault="00F63448"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i/>
          <w:lang w:eastAsia="en-US"/>
        </w:rPr>
        <w:t xml:space="preserve">Źródło: Załącznik nr 1 do Uchwały Zarządu Województwa Śląskiego nr 1920/279/V/2018 z dnia 21 sierpnia 2018 r. </w:t>
      </w:r>
    </w:p>
    <w:p w14:paraId="5C19E0E5" w14:textId="596C268B" w:rsidR="006C7158" w:rsidRPr="00FE708B" w:rsidRDefault="006C7158"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Wyżej opisane modele dotyczą wsparcia przedsiębiorców. W przypadku pomocy adresowanej do osób fizycznych modele różnią się w woj. podlaskim i podkarpackim. W pierwszym z wymienionych jest to model „bonów”, w drugim z województw jest to system zaliczkowo – refundacyjny. </w:t>
      </w:r>
    </w:p>
    <w:p w14:paraId="7714193C" w14:textId="1FC08838" w:rsidR="00FB06CF" w:rsidRPr="00FE708B" w:rsidRDefault="00FB06CF"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W </w:t>
      </w:r>
      <w:r w:rsidR="006C7158" w:rsidRPr="00FE708B">
        <w:rPr>
          <w:rFonts w:asciiTheme="minorHAnsi" w:eastAsiaTheme="minorHAnsi" w:hAnsiTheme="minorHAnsi" w:cstheme="minorHAnsi"/>
          <w:lang w:eastAsia="en-US"/>
        </w:rPr>
        <w:t xml:space="preserve">11 </w:t>
      </w:r>
      <w:r w:rsidRPr="00FE708B">
        <w:rPr>
          <w:rFonts w:asciiTheme="minorHAnsi" w:eastAsiaTheme="minorHAnsi" w:hAnsiTheme="minorHAnsi" w:cstheme="minorHAnsi"/>
          <w:lang w:eastAsia="en-US"/>
        </w:rPr>
        <w:t>województwach ze wsparcia mogą korzystać wyłącznie przedsiębiorcy (kierują na szkolenia swoich pracowników</w:t>
      </w:r>
      <w:r w:rsidR="003D2BF9">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jeżeli spełnią kryteria </w:t>
      </w:r>
      <w:r w:rsidR="00B75C6E" w:rsidRPr="00FE708B">
        <w:rPr>
          <w:rFonts w:asciiTheme="minorHAnsi" w:eastAsiaTheme="minorHAnsi" w:hAnsiTheme="minorHAnsi" w:cstheme="minorHAnsi"/>
          <w:lang w:eastAsia="en-US"/>
        </w:rPr>
        <w:t xml:space="preserve">wymagane do </w:t>
      </w:r>
      <w:r w:rsidRPr="00FE708B">
        <w:rPr>
          <w:rFonts w:asciiTheme="minorHAnsi" w:eastAsiaTheme="minorHAnsi" w:hAnsiTheme="minorHAnsi" w:cstheme="minorHAnsi"/>
          <w:lang w:eastAsia="en-US"/>
        </w:rPr>
        <w:t xml:space="preserve">uzyskania dofinansowania), w </w:t>
      </w:r>
      <w:r w:rsidR="006C7158" w:rsidRPr="00FE708B">
        <w:rPr>
          <w:rFonts w:asciiTheme="minorHAnsi" w:eastAsiaTheme="minorHAnsi" w:hAnsiTheme="minorHAnsi" w:cstheme="minorHAnsi"/>
          <w:lang w:eastAsia="en-US"/>
        </w:rPr>
        <w:t xml:space="preserve">3 </w:t>
      </w:r>
      <w:r w:rsidRPr="00FE708B">
        <w:rPr>
          <w:rFonts w:asciiTheme="minorHAnsi" w:eastAsiaTheme="minorHAnsi" w:hAnsiTheme="minorHAnsi" w:cstheme="minorHAnsi"/>
          <w:lang w:eastAsia="en-US"/>
        </w:rPr>
        <w:t xml:space="preserve">województwach PSF jest dedykowany zarówno przedsiębiorcom,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jak i osobom fizycznym (po spełnianiu określonych kryteriów warunkujących otrzymanie dofinansowania). </w:t>
      </w:r>
      <w:r w:rsidR="006C7158" w:rsidRPr="00FE708B">
        <w:rPr>
          <w:rFonts w:asciiTheme="minorHAnsi" w:eastAsiaTheme="minorHAnsi" w:hAnsiTheme="minorHAnsi" w:cstheme="minorHAnsi"/>
          <w:lang w:eastAsia="en-US"/>
        </w:rPr>
        <w:t xml:space="preserve"> </w:t>
      </w:r>
    </w:p>
    <w:p w14:paraId="59190CB4" w14:textId="77777777" w:rsidR="00FB06CF" w:rsidRPr="00FE708B" w:rsidRDefault="00FB06CF" w:rsidP="001B56C4">
      <w:pPr>
        <w:pStyle w:val="N1"/>
        <w:ind w:left="357" w:hanging="357"/>
        <w:rPr>
          <w:rFonts w:asciiTheme="minorHAnsi" w:hAnsiTheme="minorHAnsi" w:cstheme="minorHAnsi"/>
        </w:rPr>
      </w:pPr>
      <w:bookmarkStart w:id="3" w:name="_Toc8896924"/>
      <w:r w:rsidRPr="00FE708B">
        <w:rPr>
          <w:rFonts w:asciiTheme="minorHAnsi" w:hAnsiTheme="minorHAnsi" w:cstheme="minorHAnsi"/>
        </w:rPr>
        <w:t>Cele badania</w:t>
      </w:r>
      <w:bookmarkEnd w:id="3"/>
      <w:r w:rsidRPr="00FE708B">
        <w:rPr>
          <w:rFonts w:asciiTheme="minorHAnsi" w:hAnsiTheme="minorHAnsi" w:cstheme="minorHAnsi"/>
        </w:rPr>
        <w:t xml:space="preserve"> </w:t>
      </w:r>
    </w:p>
    <w:p w14:paraId="3109439D" w14:textId="77777777" w:rsidR="00227B78" w:rsidRPr="00FE708B" w:rsidRDefault="00B62D4E"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Głównym celem badania </w:t>
      </w:r>
      <w:r w:rsidR="00227B78" w:rsidRPr="00FE708B">
        <w:rPr>
          <w:rFonts w:asciiTheme="minorHAnsi" w:eastAsiaTheme="minorHAnsi" w:hAnsiTheme="minorHAnsi" w:cstheme="minorHAnsi"/>
          <w:lang w:eastAsia="en-US"/>
        </w:rPr>
        <w:t xml:space="preserve">jest </w:t>
      </w:r>
      <w:r w:rsidRPr="00FE708B">
        <w:rPr>
          <w:rFonts w:asciiTheme="minorHAnsi" w:eastAsiaTheme="minorHAnsi" w:hAnsiTheme="minorHAnsi" w:cstheme="minorHAnsi"/>
          <w:lang w:eastAsia="en-US"/>
        </w:rPr>
        <w:t>ocena funkcjonującego modelu wsparcia</w:t>
      </w:r>
      <w:r w:rsidR="00D97BD0" w:rsidRPr="00FE708B">
        <w:rPr>
          <w:rFonts w:asciiTheme="minorHAnsi" w:eastAsiaTheme="minorHAnsi" w:hAnsiTheme="minorHAnsi" w:cstheme="minorHAnsi"/>
          <w:lang w:eastAsia="en-US"/>
        </w:rPr>
        <w:t xml:space="preserve"> EFS </w:t>
      </w:r>
      <w:r w:rsidR="009C1382" w:rsidRPr="00FE708B">
        <w:rPr>
          <w:rFonts w:asciiTheme="minorHAnsi" w:eastAsiaTheme="minorHAnsi" w:hAnsiTheme="minorHAnsi" w:cstheme="minorHAnsi"/>
          <w:lang w:eastAsia="en-US"/>
        </w:rPr>
        <w:t xml:space="preserve">dedykowanego przedsiębiorcom </w:t>
      </w:r>
      <w:r w:rsidR="00D97BD0" w:rsidRPr="00FE708B">
        <w:rPr>
          <w:rFonts w:asciiTheme="minorHAnsi" w:eastAsiaTheme="minorHAnsi" w:hAnsiTheme="minorHAnsi" w:cstheme="minorHAnsi"/>
          <w:lang w:eastAsia="en-US"/>
        </w:rPr>
        <w:t xml:space="preserve">i </w:t>
      </w:r>
      <w:r w:rsidR="009C1382" w:rsidRPr="00FE708B">
        <w:rPr>
          <w:rFonts w:asciiTheme="minorHAnsi" w:eastAsiaTheme="minorHAnsi" w:hAnsiTheme="minorHAnsi" w:cstheme="minorHAnsi"/>
          <w:lang w:eastAsia="en-US"/>
        </w:rPr>
        <w:t>pracownikom</w:t>
      </w:r>
      <w:r w:rsidRPr="00FE708B">
        <w:rPr>
          <w:rFonts w:asciiTheme="minorHAnsi" w:eastAsiaTheme="minorHAnsi" w:hAnsiTheme="minorHAnsi" w:cstheme="minorHAnsi"/>
          <w:lang w:eastAsia="en-US"/>
        </w:rPr>
        <w:t xml:space="preserve">, zarówno na poziomie krajowym (BUR), jak i regionalnym (PSF). </w:t>
      </w:r>
    </w:p>
    <w:p w14:paraId="4B7398EE" w14:textId="77777777" w:rsidR="00B62D4E" w:rsidRPr="00FE708B" w:rsidRDefault="00B62D4E"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A zatem w obszarze zainteresowań badawczych będą się mieściły następujące zagadnienia:</w:t>
      </w:r>
    </w:p>
    <w:p w14:paraId="2CBEB376" w14:textId="06D82F34" w:rsidR="00B62D4E" w:rsidRPr="00FE708B" w:rsidRDefault="003D2BF9" w:rsidP="003D2BF9">
      <w:pPr>
        <w:pStyle w:val="NormalnyWeb"/>
        <w:numPr>
          <w:ilvl w:val="0"/>
          <w:numId w:val="3"/>
        </w:numPr>
        <w:shd w:val="clear" w:color="auto" w:fill="FFFFFF"/>
        <w:spacing w:before="120" w:after="120" w:line="360" w:lineRule="auto"/>
        <w:rPr>
          <w:rFonts w:asciiTheme="minorHAnsi" w:eastAsiaTheme="minorHAnsi" w:hAnsiTheme="minorHAnsi" w:cstheme="minorHAnsi"/>
          <w:lang w:eastAsia="en-US"/>
        </w:rPr>
      </w:pPr>
      <w:r>
        <w:rPr>
          <w:rFonts w:asciiTheme="minorHAnsi" w:eastAsiaTheme="minorHAnsi" w:hAnsiTheme="minorHAnsi" w:cstheme="minorHAnsi"/>
          <w:lang w:eastAsia="en-US"/>
        </w:rPr>
        <w:t>f</w:t>
      </w:r>
      <w:r w:rsidR="00B62D4E" w:rsidRPr="00FE708B">
        <w:rPr>
          <w:rFonts w:asciiTheme="minorHAnsi" w:eastAsiaTheme="minorHAnsi" w:hAnsiTheme="minorHAnsi" w:cstheme="minorHAnsi"/>
          <w:lang w:eastAsia="en-US"/>
        </w:rPr>
        <w:t>unkcjonowanie BUR, zwłaszcza w kontekście wpływu przyjętych rozwiązań na kształtowanie się struktury usług (dopasowania do potrz</w:t>
      </w:r>
      <w:r>
        <w:rPr>
          <w:rFonts w:asciiTheme="minorHAnsi" w:eastAsiaTheme="minorHAnsi" w:hAnsiTheme="minorHAnsi" w:cstheme="minorHAnsi"/>
          <w:lang w:eastAsia="en-US"/>
        </w:rPr>
        <w:t>eb klientów) oraz na ich jakość;</w:t>
      </w:r>
    </w:p>
    <w:p w14:paraId="2AF776E8" w14:textId="08518D95" w:rsidR="00B62D4E" w:rsidRPr="00FE708B" w:rsidRDefault="003D2BF9" w:rsidP="003D2BF9">
      <w:pPr>
        <w:pStyle w:val="NormalnyWeb"/>
        <w:numPr>
          <w:ilvl w:val="0"/>
          <w:numId w:val="3"/>
        </w:numPr>
        <w:shd w:val="clear" w:color="auto" w:fill="FFFFFF"/>
        <w:spacing w:before="120" w:after="120" w:line="360" w:lineRule="auto"/>
        <w:rPr>
          <w:rFonts w:asciiTheme="minorHAnsi" w:eastAsiaTheme="minorHAnsi" w:hAnsiTheme="minorHAnsi" w:cstheme="minorHAnsi"/>
          <w:lang w:eastAsia="en-US"/>
        </w:rPr>
      </w:pPr>
      <w:r>
        <w:rPr>
          <w:rFonts w:asciiTheme="minorHAnsi" w:eastAsiaTheme="minorHAnsi" w:hAnsiTheme="minorHAnsi" w:cstheme="minorHAnsi"/>
          <w:lang w:eastAsia="en-US"/>
        </w:rPr>
        <w:t>f</w:t>
      </w:r>
      <w:r w:rsidR="00B62D4E" w:rsidRPr="00FE708B">
        <w:rPr>
          <w:rFonts w:asciiTheme="minorHAnsi" w:eastAsiaTheme="minorHAnsi" w:hAnsiTheme="minorHAnsi" w:cstheme="minorHAnsi"/>
          <w:lang w:eastAsia="en-US"/>
        </w:rPr>
        <w:t>unkcjonowanie PSF, zwłaszcza w kontekście ewentualnych różnic efektywności, skuteczności i użyteczności</w:t>
      </w:r>
      <w:r w:rsidR="00C07BDA" w:rsidRPr="00FE708B">
        <w:rPr>
          <w:rFonts w:asciiTheme="minorHAnsi" w:eastAsiaTheme="minorHAnsi" w:hAnsiTheme="minorHAnsi" w:cstheme="minorHAnsi"/>
          <w:lang w:eastAsia="en-US"/>
        </w:rPr>
        <w:t xml:space="preserve"> (systemu PSF)</w:t>
      </w:r>
      <w:r w:rsidR="00B62D4E" w:rsidRPr="00FE708B">
        <w:rPr>
          <w:rFonts w:asciiTheme="minorHAnsi" w:eastAsiaTheme="minorHAnsi" w:hAnsiTheme="minorHAnsi" w:cstheme="minorHAnsi"/>
          <w:lang w:eastAsia="en-US"/>
        </w:rPr>
        <w:t xml:space="preserve"> mogących być konsekwencją przyjętych (na poziomie poszczególnych PSF) modeli dystrybucji środków</w:t>
      </w:r>
      <w:r w:rsidR="00C07BDA" w:rsidRPr="00FE708B">
        <w:rPr>
          <w:rFonts w:asciiTheme="minorHAnsi" w:eastAsiaTheme="minorHAnsi" w:hAnsiTheme="minorHAnsi" w:cstheme="minorHAnsi"/>
          <w:lang w:eastAsia="en-US"/>
        </w:rPr>
        <w:t>, kryteriów wyboru operatorów oraz innych rozwiązań</w:t>
      </w:r>
      <w:r w:rsidR="00B62D4E" w:rsidRPr="00FE708B">
        <w:rPr>
          <w:rFonts w:asciiTheme="minorHAnsi" w:eastAsiaTheme="minorHAnsi" w:hAnsiTheme="minorHAnsi" w:cstheme="minorHAnsi"/>
          <w:lang w:eastAsia="en-US"/>
        </w:rPr>
        <w:t xml:space="preserve">. </w:t>
      </w:r>
    </w:p>
    <w:p w14:paraId="72996F3B" w14:textId="3BB13F8E" w:rsidR="00FB06CF" w:rsidRPr="00FE708B" w:rsidRDefault="000E7D27"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Zadaniem Wykonawcy jest dostarczenie wiedzy pozwalającej </w:t>
      </w:r>
      <w:r w:rsidR="00B62D4E" w:rsidRPr="00FE708B">
        <w:rPr>
          <w:rFonts w:asciiTheme="minorHAnsi" w:eastAsiaTheme="minorHAnsi" w:hAnsiTheme="minorHAnsi" w:cstheme="minorHAnsi"/>
          <w:lang w:eastAsia="en-US"/>
        </w:rPr>
        <w:t xml:space="preserve">na identyfikację potencjalnych słabych </w:t>
      </w:r>
      <w:r w:rsidR="00C12EDE" w:rsidRPr="00FE708B">
        <w:rPr>
          <w:rFonts w:asciiTheme="minorHAnsi" w:eastAsiaTheme="minorHAnsi" w:hAnsiTheme="minorHAnsi" w:cstheme="minorHAnsi"/>
          <w:lang w:eastAsia="en-US"/>
        </w:rPr>
        <w:t>stron systemu BUR</w:t>
      </w:r>
      <w:r w:rsidR="00227B78" w:rsidRPr="00FE708B">
        <w:rPr>
          <w:rFonts w:asciiTheme="minorHAnsi" w:eastAsiaTheme="minorHAnsi" w:hAnsiTheme="minorHAnsi" w:cstheme="minorHAnsi"/>
          <w:lang w:eastAsia="en-US"/>
        </w:rPr>
        <w:t>/</w:t>
      </w:r>
      <w:r w:rsidR="00C12EDE" w:rsidRPr="00FE708B">
        <w:rPr>
          <w:rFonts w:asciiTheme="minorHAnsi" w:eastAsiaTheme="minorHAnsi" w:hAnsiTheme="minorHAnsi" w:cstheme="minorHAnsi"/>
          <w:lang w:eastAsia="en-US"/>
        </w:rPr>
        <w:t xml:space="preserve">PSF oraz </w:t>
      </w:r>
      <w:r w:rsidRPr="00FE708B">
        <w:rPr>
          <w:rFonts w:asciiTheme="minorHAnsi" w:eastAsiaTheme="minorHAnsi" w:hAnsiTheme="minorHAnsi" w:cstheme="minorHAnsi"/>
          <w:lang w:eastAsia="en-US"/>
        </w:rPr>
        <w:t xml:space="preserve">zaproponowanie </w:t>
      </w:r>
      <w:r w:rsidR="00227B78" w:rsidRPr="00FE708B">
        <w:rPr>
          <w:rFonts w:asciiTheme="minorHAnsi" w:eastAsiaTheme="minorHAnsi" w:hAnsiTheme="minorHAnsi" w:cstheme="minorHAnsi"/>
          <w:lang w:eastAsia="en-US"/>
        </w:rPr>
        <w:t xml:space="preserve">w tym zakresie </w:t>
      </w:r>
      <w:r w:rsidRPr="00FE708B">
        <w:rPr>
          <w:rFonts w:asciiTheme="minorHAnsi" w:eastAsiaTheme="minorHAnsi" w:hAnsiTheme="minorHAnsi" w:cstheme="minorHAnsi"/>
          <w:lang w:eastAsia="en-US"/>
        </w:rPr>
        <w:t>środków zaradczych</w:t>
      </w:r>
      <w:r w:rsidR="00C12EDE" w:rsidRPr="00FE708B">
        <w:rPr>
          <w:rFonts w:asciiTheme="minorHAnsi" w:eastAsiaTheme="minorHAnsi" w:hAnsiTheme="minorHAnsi" w:cstheme="minorHAnsi"/>
          <w:lang w:eastAsia="en-US"/>
        </w:rPr>
        <w:t xml:space="preserve">, jak również </w:t>
      </w:r>
      <w:r w:rsidRPr="00FE708B">
        <w:rPr>
          <w:rFonts w:asciiTheme="minorHAnsi" w:eastAsiaTheme="minorHAnsi" w:hAnsiTheme="minorHAnsi" w:cstheme="minorHAnsi"/>
          <w:lang w:eastAsia="en-US"/>
        </w:rPr>
        <w:t xml:space="preserve">określenie mocnych </w:t>
      </w:r>
      <w:r w:rsidR="00C12EDE" w:rsidRPr="00FE708B">
        <w:rPr>
          <w:rFonts w:asciiTheme="minorHAnsi" w:eastAsiaTheme="minorHAnsi" w:hAnsiTheme="minorHAnsi" w:cstheme="minorHAnsi"/>
          <w:lang w:eastAsia="en-US"/>
        </w:rPr>
        <w:t xml:space="preserve">jego stron, w tym również </w:t>
      </w:r>
      <w:r w:rsidRPr="00FE708B">
        <w:rPr>
          <w:rFonts w:asciiTheme="minorHAnsi" w:eastAsiaTheme="minorHAnsi" w:hAnsiTheme="minorHAnsi" w:cstheme="minorHAnsi"/>
          <w:lang w:eastAsia="en-US"/>
        </w:rPr>
        <w:t>takich</w:t>
      </w:r>
      <w:r w:rsidR="00C12EDE" w:rsidRPr="00FE708B">
        <w:rPr>
          <w:rFonts w:asciiTheme="minorHAnsi" w:eastAsiaTheme="minorHAnsi" w:hAnsiTheme="minorHAnsi" w:cstheme="minorHAnsi"/>
          <w:lang w:eastAsia="en-US"/>
        </w:rPr>
        <w:t>, których potencjał nie jest dotychczas wystarczająco wykorzystany (a być powinien)</w:t>
      </w:r>
      <w:r w:rsidR="0036036B" w:rsidRPr="00FE708B">
        <w:rPr>
          <w:rFonts w:asciiTheme="minorHAnsi" w:eastAsiaTheme="minorHAnsi" w:hAnsiTheme="minorHAnsi" w:cstheme="minorHAnsi"/>
          <w:lang w:eastAsia="en-US"/>
        </w:rPr>
        <w:t xml:space="preserve"> </w:t>
      </w:r>
      <w:r w:rsidR="00227B78" w:rsidRPr="00FE708B">
        <w:rPr>
          <w:rFonts w:asciiTheme="minorHAnsi" w:eastAsiaTheme="minorHAnsi" w:hAnsiTheme="minorHAnsi" w:cstheme="minorHAnsi"/>
          <w:lang w:eastAsia="en-US"/>
        </w:rPr>
        <w:t>i</w:t>
      </w:r>
      <w:r w:rsidR="0036036B"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takich</w:t>
      </w:r>
      <w:r w:rsidR="0036036B" w:rsidRPr="00FE708B">
        <w:rPr>
          <w:rFonts w:asciiTheme="minorHAnsi" w:eastAsiaTheme="minorHAnsi" w:hAnsiTheme="minorHAnsi" w:cstheme="minorHAnsi"/>
          <w:lang w:eastAsia="en-US"/>
        </w:rPr>
        <w:t xml:space="preserve">, zwłaszcza na poziomie regionalnym, które jako przykłady dobrych praktyk mogą posłużyć innym regionom </w:t>
      </w:r>
      <w:r w:rsidR="003D2BF9">
        <w:rPr>
          <w:rFonts w:asciiTheme="minorHAnsi" w:eastAsiaTheme="minorHAnsi" w:hAnsiTheme="minorHAnsi" w:cstheme="minorHAnsi"/>
          <w:lang w:eastAsia="en-US"/>
        </w:rPr>
        <w:br/>
      </w:r>
      <w:r w:rsidR="0036036B" w:rsidRPr="00FE708B">
        <w:rPr>
          <w:rFonts w:asciiTheme="minorHAnsi" w:eastAsiaTheme="minorHAnsi" w:hAnsiTheme="minorHAnsi" w:cstheme="minorHAnsi"/>
          <w:lang w:eastAsia="en-US"/>
        </w:rPr>
        <w:t xml:space="preserve">w doskonaleniu </w:t>
      </w:r>
      <w:r w:rsidR="008B07A3" w:rsidRPr="00FE708B">
        <w:rPr>
          <w:rFonts w:asciiTheme="minorHAnsi" w:eastAsiaTheme="minorHAnsi" w:hAnsiTheme="minorHAnsi" w:cstheme="minorHAnsi"/>
          <w:lang w:eastAsia="en-US"/>
        </w:rPr>
        <w:t xml:space="preserve">własnych </w:t>
      </w:r>
      <w:r w:rsidR="0036036B" w:rsidRPr="00FE708B">
        <w:rPr>
          <w:rFonts w:asciiTheme="minorHAnsi" w:eastAsiaTheme="minorHAnsi" w:hAnsiTheme="minorHAnsi" w:cstheme="minorHAnsi"/>
          <w:lang w:eastAsia="en-US"/>
        </w:rPr>
        <w:t>PSF.</w:t>
      </w:r>
    </w:p>
    <w:p w14:paraId="034D192F" w14:textId="437DEB1B" w:rsidR="00F33CDE" w:rsidRPr="00FE708B" w:rsidRDefault="00F33CDE"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Należy podkreślić, że Wykonawca badania powinien przede wszystkim skupić się na doświadczeniach wszystkich interesariuszy BUR/PSF, przy czym relatywnie małe znacznie dla badania będą miały sprawy związane z funkcjonalnością </w:t>
      </w:r>
      <w:r w:rsidR="009C1382" w:rsidRPr="00FE708B">
        <w:rPr>
          <w:rFonts w:asciiTheme="minorHAnsi" w:eastAsiaTheme="minorHAnsi" w:hAnsiTheme="minorHAnsi" w:cstheme="minorHAnsi"/>
          <w:lang w:eastAsia="en-US"/>
        </w:rPr>
        <w:t>strony internetowej</w:t>
      </w:r>
      <w:r w:rsidRPr="00FE708B">
        <w:rPr>
          <w:rFonts w:asciiTheme="minorHAnsi" w:eastAsiaTheme="minorHAnsi" w:hAnsiTheme="minorHAnsi" w:cstheme="minorHAnsi"/>
          <w:lang w:eastAsia="en-US"/>
        </w:rPr>
        <w:t xml:space="preserve"> (przejrzystość, łatwość obsługi, szybkość ładowania strony itp.). </w:t>
      </w:r>
      <w:r w:rsidR="000E7D27" w:rsidRPr="00FE708B">
        <w:rPr>
          <w:rFonts w:asciiTheme="minorHAnsi" w:eastAsiaTheme="minorHAnsi" w:hAnsiTheme="minorHAnsi" w:cstheme="minorHAnsi"/>
          <w:lang w:eastAsia="en-US"/>
        </w:rPr>
        <w:t xml:space="preserve">Zasadniczym </w:t>
      </w:r>
      <w:r w:rsidRPr="00FE708B">
        <w:rPr>
          <w:rFonts w:asciiTheme="minorHAnsi" w:eastAsiaTheme="minorHAnsi" w:hAnsiTheme="minorHAnsi" w:cstheme="minorHAnsi"/>
          <w:lang w:eastAsia="en-US"/>
        </w:rPr>
        <w:t xml:space="preserve">obszarem zainteresowania są kwestie związane </w:t>
      </w:r>
      <w:r w:rsidR="006900A3" w:rsidRPr="00FE708B">
        <w:rPr>
          <w:rFonts w:asciiTheme="minorHAnsi" w:eastAsiaTheme="minorHAnsi" w:hAnsiTheme="minorHAnsi" w:cstheme="minorHAnsi"/>
          <w:lang w:eastAsia="en-US"/>
        </w:rPr>
        <w:t>z przyjętymi</w:t>
      </w:r>
      <w:r w:rsidRPr="00FE708B">
        <w:rPr>
          <w:rFonts w:asciiTheme="minorHAnsi" w:eastAsiaTheme="minorHAnsi" w:hAnsiTheme="minorHAnsi" w:cstheme="minorHAnsi"/>
          <w:lang w:eastAsia="en-US"/>
        </w:rPr>
        <w:t xml:space="preserve"> </w:t>
      </w:r>
      <w:r w:rsidR="006900A3" w:rsidRPr="00FE708B">
        <w:rPr>
          <w:rFonts w:asciiTheme="minorHAnsi" w:eastAsiaTheme="minorHAnsi" w:hAnsiTheme="minorHAnsi" w:cstheme="minorHAnsi"/>
          <w:lang w:eastAsia="en-US"/>
        </w:rPr>
        <w:t xml:space="preserve">rozwiązaniami </w:t>
      </w:r>
      <w:r w:rsidR="00227B78" w:rsidRPr="00FE708B">
        <w:rPr>
          <w:rFonts w:asciiTheme="minorHAnsi" w:eastAsiaTheme="minorHAnsi" w:hAnsiTheme="minorHAnsi" w:cstheme="minorHAnsi"/>
          <w:lang w:eastAsia="en-US"/>
        </w:rPr>
        <w:t xml:space="preserve">systemowymi (formalno-prawnymi, merytorycznymi, itp.) </w:t>
      </w:r>
      <w:r w:rsidR="006900A3" w:rsidRPr="00FE708B">
        <w:rPr>
          <w:rFonts w:asciiTheme="minorHAnsi" w:eastAsiaTheme="minorHAnsi" w:hAnsiTheme="minorHAnsi" w:cstheme="minorHAnsi"/>
          <w:lang w:eastAsia="en-US"/>
        </w:rPr>
        <w:t xml:space="preserve">w zakresie </w:t>
      </w:r>
      <w:r w:rsidRPr="00FE708B">
        <w:rPr>
          <w:rFonts w:asciiTheme="minorHAnsi" w:eastAsiaTheme="minorHAnsi" w:hAnsiTheme="minorHAnsi" w:cstheme="minorHAnsi"/>
          <w:lang w:eastAsia="en-US"/>
        </w:rPr>
        <w:t xml:space="preserve">BUR/PSF </w:t>
      </w:r>
      <w:r w:rsidR="000E7D27" w:rsidRPr="00FE708B">
        <w:rPr>
          <w:rFonts w:asciiTheme="minorHAnsi" w:eastAsiaTheme="minorHAnsi" w:hAnsiTheme="minorHAnsi" w:cstheme="minorHAnsi"/>
          <w:lang w:eastAsia="en-US"/>
        </w:rPr>
        <w:t xml:space="preserve">przez poszczególne województwa i wpływ tych rozwiązań </w:t>
      </w:r>
      <w:r w:rsidRPr="00FE708B">
        <w:rPr>
          <w:rFonts w:asciiTheme="minorHAnsi" w:eastAsiaTheme="minorHAnsi" w:hAnsiTheme="minorHAnsi" w:cstheme="minorHAnsi"/>
          <w:lang w:eastAsia="en-US"/>
        </w:rPr>
        <w:t>na rzec</w:t>
      </w:r>
      <w:r w:rsidR="007A7D2E" w:rsidRPr="00FE708B">
        <w:rPr>
          <w:rFonts w:asciiTheme="minorHAnsi" w:eastAsiaTheme="minorHAnsi" w:hAnsiTheme="minorHAnsi" w:cstheme="minorHAnsi"/>
          <w:lang w:eastAsia="en-US"/>
        </w:rPr>
        <w:t xml:space="preserve">zywiste funkcjonowanie systemu, w tym uzyskiwane efekty. </w:t>
      </w:r>
    </w:p>
    <w:p w14:paraId="3FCBBF2B" w14:textId="1CE5ED46" w:rsidR="00CA6C65" w:rsidRPr="00FE708B" w:rsidRDefault="00CA6C65"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Wnioski z badania powinny z jednej strony prowadzić do przygotowania rekomendacji wprowadzenia ewentualnych zmian usprawniających dotychczasowy system wsparcia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w ramach </w:t>
      </w:r>
      <w:r w:rsidR="00DD26E2" w:rsidRPr="00FE708B">
        <w:rPr>
          <w:rFonts w:asciiTheme="minorHAnsi" w:eastAsiaTheme="minorHAnsi" w:hAnsiTheme="minorHAnsi" w:cstheme="minorHAnsi"/>
          <w:lang w:eastAsia="en-US"/>
        </w:rPr>
        <w:t>BUR/</w:t>
      </w:r>
      <w:r w:rsidRPr="00FE708B">
        <w:rPr>
          <w:rFonts w:asciiTheme="minorHAnsi" w:eastAsiaTheme="minorHAnsi" w:hAnsiTheme="minorHAnsi" w:cstheme="minorHAnsi"/>
          <w:lang w:eastAsia="en-US"/>
        </w:rPr>
        <w:t>PSF, z drugiej zaś obejmować kwestie dotyczące przyszłej perspektywy finansowej (202</w:t>
      </w:r>
      <w:r w:rsidR="00DD26E2" w:rsidRPr="00FE708B">
        <w:rPr>
          <w:rFonts w:asciiTheme="minorHAnsi" w:eastAsiaTheme="minorHAnsi" w:hAnsiTheme="minorHAnsi" w:cstheme="minorHAnsi"/>
          <w:lang w:eastAsia="en-US"/>
        </w:rPr>
        <w:t>1</w:t>
      </w:r>
      <w:r w:rsidRPr="00FE708B">
        <w:rPr>
          <w:rFonts w:asciiTheme="minorHAnsi" w:eastAsiaTheme="minorHAnsi" w:hAnsiTheme="minorHAnsi" w:cstheme="minorHAnsi"/>
          <w:lang w:eastAsia="en-US"/>
        </w:rPr>
        <w:t xml:space="preserve">-2027), np. który z przyjętych modeli dystrybucji środków powinien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w przyszłości być wiodący (lub np. czy nie wprowadzić modelu hybrydowego, bazującego na najlepszych rozwiązaniach obecnie funkcjonujących modeli), </w:t>
      </w:r>
      <w:r w:rsidR="00DD26E2" w:rsidRPr="00FE708B">
        <w:rPr>
          <w:rFonts w:asciiTheme="minorHAnsi" w:eastAsiaTheme="minorHAnsi" w:hAnsiTheme="minorHAnsi" w:cstheme="minorHAnsi"/>
          <w:lang w:eastAsia="en-US"/>
        </w:rPr>
        <w:t xml:space="preserve">jak zoptymalizować relacje pomiędzy BUR (poziom centralny) a PSF (regionalny) </w:t>
      </w:r>
      <w:r w:rsidRPr="00FE708B">
        <w:rPr>
          <w:rFonts w:asciiTheme="minorHAnsi" w:eastAsiaTheme="minorHAnsi" w:hAnsiTheme="minorHAnsi" w:cstheme="minorHAnsi"/>
          <w:lang w:eastAsia="en-US"/>
        </w:rPr>
        <w:t xml:space="preserve">itp. </w:t>
      </w:r>
    </w:p>
    <w:p w14:paraId="0671BD14" w14:textId="77777777" w:rsidR="00583CB3" w:rsidRPr="00FE708B" w:rsidRDefault="00583CB3" w:rsidP="001B56C4">
      <w:pPr>
        <w:pStyle w:val="N1"/>
        <w:ind w:left="357" w:hanging="357"/>
        <w:rPr>
          <w:rFonts w:asciiTheme="minorHAnsi" w:hAnsiTheme="minorHAnsi" w:cstheme="minorHAnsi"/>
        </w:rPr>
      </w:pPr>
      <w:bookmarkStart w:id="4" w:name="_Toc8896925"/>
      <w:r w:rsidRPr="00FE708B">
        <w:rPr>
          <w:rFonts w:asciiTheme="minorHAnsi" w:hAnsiTheme="minorHAnsi" w:cstheme="minorHAnsi"/>
        </w:rPr>
        <w:t>Pytania badawcze</w:t>
      </w:r>
      <w:bookmarkEnd w:id="4"/>
      <w:r w:rsidRPr="00FE708B">
        <w:rPr>
          <w:rFonts w:asciiTheme="minorHAnsi" w:hAnsiTheme="minorHAnsi" w:cstheme="minorHAnsi"/>
        </w:rPr>
        <w:t xml:space="preserve"> </w:t>
      </w:r>
    </w:p>
    <w:p w14:paraId="546F5453" w14:textId="25D2CC85" w:rsidR="00583CB3" w:rsidRPr="00FE708B" w:rsidRDefault="00583CB3"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Jak</w:t>
      </w:r>
      <w:r w:rsidR="00227B78" w:rsidRPr="00FE708B">
        <w:rPr>
          <w:rFonts w:asciiTheme="minorHAnsi" w:eastAsiaTheme="minorHAnsi" w:hAnsiTheme="minorHAnsi" w:cstheme="minorHAnsi"/>
          <w:lang w:eastAsia="en-US"/>
        </w:rPr>
        <w:t>a</w:t>
      </w:r>
      <w:r w:rsidRPr="00FE708B">
        <w:rPr>
          <w:rFonts w:asciiTheme="minorHAnsi" w:eastAsiaTheme="minorHAnsi" w:hAnsiTheme="minorHAnsi" w:cstheme="minorHAnsi"/>
          <w:lang w:eastAsia="en-US"/>
        </w:rPr>
        <w:t xml:space="preserve"> </w:t>
      </w:r>
      <w:r w:rsidR="00227B78" w:rsidRPr="00FE708B">
        <w:rPr>
          <w:rFonts w:asciiTheme="minorHAnsi" w:eastAsiaTheme="minorHAnsi" w:hAnsiTheme="minorHAnsi" w:cstheme="minorHAnsi"/>
          <w:lang w:eastAsia="en-US"/>
        </w:rPr>
        <w:t xml:space="preserve">jest i jak </w:t>
      </w:r>
      <w:r w:rsidRPr="00FE708B">
        <w:rPr>
          <w:rFonts w:asciiTheme="minorHAnsi" w:eastAsiaTheme="minorHAnsi" w:hAnsiTheme="minorHAnsi" w:cstheme="minorHAnsi"/>
          <w:lang w:eastAsia="en-US"/>
        </w:rPr>
        <w:t>kształt</w:t>
      </w:r>
      <w:r w:rsidR="00227B78" w:rsidRPr="00FE708B">
        <w:rPr>
          <w:rFonts w:asciiTheme="minorHAnsi" w:eastAsiaTheme="minorHAnsi" w:hAnsiTheme="minorHAnsi" w:cstheme="minorHAnsi"/>
          <w:lang w:eastAsia="en-US"/>
        </w:rPr>
        <w:t xml:space="preserve">owała </w:t>
      </w:r>
      <w:r w:rsidRPr="00FE708B">
        <w:rPr>
          <w:rFonts w:asciiTheme="minorHAnsi" w:eastAsiaTheme="minorHAnsi" w:hAnsiTheme="minorHAnsi" w:cstheme="minorHAnsi"/>
          <w:lang w:eastAsia="en-US"/>
        </w:rPr>
        <w:t>się struktura usług</w:t>
      </w:r>
      <w:r w:rsidR="000E7D27"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usługodawców i klientów</w:t>
      </w:r>
      <w:r w:rsidR="00CA6C65" w:rsidRPr="00FE708B">
        <w:rPr>
          <w:rStyle w:val="Odwoanieprzypisudolnego"/>
          <w:rFonts w:asciiTheme="minorHAnsi" w:eastAsiaTheme="minorHAnsi" w:hAnsiTheme="minorHAnsi" w:cstheme="minorHAnsi"/>
          <w:lang w:eastAsia="en-US"/>
        </w:rPr>
        <w:footnoteReference w:id="7"/>
      </w:r>
      <w:r w:rsidRPr="00FE708B">
        <w:rPr>
          <w:rFonts w:asciiTheme="minorHAnsi" w:eastAsiaTheme="minorHAnsi" w:hAnsiTheme="minorHAnsi" w:cstheme="minorHAnsi"/>
          <w:lang w:eastAsia="en-US"/>
        </w:rPr>
        <w:t xml:space="preserve"> wpisanych do BUR? </w:t>
      </w:r>
      <w:r w:rsidR="00227B78" w:rsidRPr="00FE708B">
        <w:rPr>
          <w:rFonts w:asciiTheme="minorHAnsi" w:eastAsiaTheme="minorHAnsi" w:hAnsiTheme="minorHAnsi" w:cstheme="minorHAnsi"/>
          <w:lang w:eastAsia="en-US"/>
        </w:rPr>
        <w:t xml:space="preserve">Jakie trendy w tym zakresie można zidentyfikować i jak należy je oceniać </w:t>
      </w:r>
      <w:r w:rsidR="003D2BF9">
        <w:rPr>
          <w:rFonts w:asciiTheme="minorHAnsi" w:eastAsiaTheme="minorHAnsi" w:hAnsiTheme="minorHAnsi" w:cstheme="minorHAnsi"/>
          <w:lang w:eastAsia="en-US"/>
        </w:rPr>
        <w:br/>
      </w:r>
      <w:r w:rsidR="00227B78" w:rsidRPr="00FE708B">
        <w:rPr>
          <w:rFonts w:asciiTheme="minorHAnsi" w:eastAsiaTheme="minorHAnsi" w:hAnsiTheme="minorHAnsi" w:cstheme="minorHAnsi"/>
          <w:lang w:eastAsia="en-US"/>
        </w:rPr>
        <w:t>w kontekście realizacji celów EFS i POWER 2014-2020</w:t>
      </w:r>
      <w:r w:rsidR="00CA6C65" w:rsidRPr="00FE708B">
        <w:rPr>
          <w:rStyle w:val="Odwoanieprzypisudolnego"/>
          <w:rFonts w:asciiTheme="minorHAnsi" w:eastAsiaTheme="minorHAnsi" w:hAnsiTheme="minorHAnsi" w:cstheme="minorHAnsi"/>
          <w:lang w:eastAsia="en-US"/>
        </w:rPr>
        <w:footnoteReference w:id="8"/>
      </w:r>
      <w:r w:rsidR="00667696" w:rsidRPr="00FE708B">
        <w:rPr>
          <w:rFonts w:asciiTheme="minorHAnsi" w:eastAsiaTheme="minorHAnsi" w:hAnsiTheme="minorHAnsi" w:cstheme="minorHAnsi"/>
          <w:lang w:eastAsia="en-US"/>
        </w:rPr>
        <w:t>?</w:t>
      </w:r>
    </w:p>
    <w:p w14:paraId="4E02C67F" w14:textId="77777777" w:rsidR="00FC1CB0" w:rsidRPr="00FE708B" w:rsidRDefault="00583CB3"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Czy na podstawie struktury usług rozwojowych w BUR można ocenić ich dopasowanie do potrzeb gospodarki</w:t>
      </w:r>
      <w:r w:rsidR="00792554" w:rsidRPr="00FE708B">
        <w:rPr>
          <w:rFonts w:asciiTheme="minorHAnsi" w:eastAsiaTheme="minorHAnsi" w:hAnsiTheme="minorHAnsi" w:cstheme="minorHAnsi"/>
          <w:lang w:eastAsia="en-US"/>
        </w:rPr>
        <w:t xml:space="preserve"> krajowej</w:t>
      </w:r>
      <w:r w:rsidRPr="00FE708B">
        <w:rPr>
          <w:rFonts w:asciiTheme="minorHAnsi" w:eastAsiaTheme="minorHAnsi" w:hAnsiTheme="minorHAnsi" w:cstheme="minorHAnsi"/>
          <w:lang w:eastAsia="en-US"/>
        </w:rPr>
        <w:t xml:space="preserve"> oraz potrzeb</w:t>
      </w:r>
      <w:r w:rsidR="00792554" w:rsidRPr="00FE708B">
        <w:rPr>
          <w:rFonts w:asciiTheme="minorHAnsi" w:eastAsiaTheme="minorHAnsi" w:hAnsiTheme="minorHAnsi" w:cstheme="minorHAnsi"/>
          <w:lang w:eastAsia="en-US"/>
        </w:rPr>
        <w:t xml:space="preserve"> gospodarki</w:t>
      </w:r>
      <w:r w:rsidRPr="00FE708B">
        <w:rPr>
          <w:rFonts w:asciiTheme="minorHAnsi" w:eastAsiaTheme="minorHAnsi" w:hAnsiTheme="minorHAnsi" w:cstheme="minorHAnsi"/>
          <w:lang w:eastAsia="en-US"/>
        </w:rPr>
        <w:t xml:space="preserve"> poszczególnych regionów</w:t>
      </w:r>
      <w:r w:rsidR="00792554" w:rsidRPr="00FE708B">
        <w:rPr>
          <w:rFonts w:asciiTheme="minorHAnsi" w:eastAsiaTheme="minorHAnsi" w:hAnsiTheme="minorHAnsi" w:cstheme="minorHAnsi"/>
          <w:lang w:eastAsia="en-US"/>
        </w:rPr>
        <w:t xml:space="preserve"> posiadających PSF</w:t>
      </w:r>
      <w:r w:rsidRPr="00FE708B">
        <w:rPr>
          <w:rFonts w:asciiTheme="minorHAnsi" w:eastAsiaTheme="minorHAnsi" w:hAnsiTheme="minorHAnsi" w:cstheme="minorHAnsi"/>
          <w:lang w:eastAsia="en-US"/>
        </w:rPr>
        <w:t xml:space="preserve">? A jeżeli tak, to jak można ocenić strukturę usług w kontekście tych potrzeb? </w:t>
      </w:r>
      <w:r w:rsidR="00FC1CB0" w:rsidRPr="00FE708B">
        <w:rPr>
          <w:rFonts w:asciiTheme="minorHAnsi" w:eastAsiaTheme="minorHAnsi" w:hAnsiTheme="minorHAnsi" w:cstheme="minorHAnsi"/>
          <w:lang w:eastAsia="en-US"/>
        </w:rPr>
        <w:t>Jakie są różnice struktury klientów (przedsiębiorców i klientów indywidualnych) w odniesieniu do struktury populacji generalnej</w:t>
      </w:r>
      <w:r w:rsidR="00792554" w:rsidRPr="00FE708B">
        <w:rPr>
          <w:rStyle w:val="Odwoanieprzypisudolnego"/>
          <w:rFonts w:asciiTheme="minorHAnsi" w:eastAsiaTheme="minorHAnsi" w:hAnsiTheme="minorHAnsi" w:cstheme="minorHAnsi"/>
          <w:lang w:eastAsia="en-US"/>
        </w:rPr>
        <w:footnoteReference w:id="9"/>
      </w:r>
      <w:r w:rsidR="00FC1CB0" w:rsidRPr="00FE708B">
        <w:rPr>
          <w:rFonts w:asciiTheme="minorHAnsi" w:eastAsiaTheme="minorHAnsi" w:hAnsiTheme="minorHAnsi" w:cstheme="minorHAnsi"/>
          <w:lang w:eastAsia="en-US"/>
        </w:rPr>
        <w:t xml:space="preserve">, z czego wynikają te różnice? </w:t>
      </w:r>
    </w:p>
    <w:p w14:paraId="5B85E7E0" w14:textId="77777777" w:rsidR="00BC23A6" w:rsidRPr="00FE708B" w:rsidRDefault="00BC23A6" w:rsidP="00BC23A6">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Jak kształtują się koszty funkcjonowania PSF (np. czy występują różnice pomiędzy modelami oraz województwami, z czego wynikają te różnice)</w:t>
      </w:r>
      <w:r w:rsidRPr="00FE708B">
        <w:rPr>
          <w:rStyle w:val="Odwoanieprzypisudolnego"/>
          <w:rFonts w:asciiTheme="minorHAnsi" w:eastAsiaTheme="minorHAnsi" w:hAnsiTheme="minorHAnsi" w:cstheme="minorHAnsi"/>
          <w:lang w:eastAsia="en-US"/>
        </w:rPr>
        <w:footnoteReference w:id="10"/>
      </w:r>
      <w:r w:rsidRPr="00FE708B">
        <w:rPr>
          <w:rFonts w:asciiTheme="minorHAnsi" w:eastAsiaTheme="minorHAnsi" w:hAnsiTheme="minorHAnsi" w:cstheme="minorHAnsi"/>
          <w:lang w:eastAsia="en-US"/>
        </w:rPr>
        <w:t xml:space="preserve">? </w:t>
      </w:r>
    </w:p>
    <w:p w14:paraId="3B1D723D" w14:textId="6DE329F9" w:rsidR="002D5B78" w:rsidRPr="00FE708B" w:rsidRDefault="002D5B78" w:rsidP="002D5B78">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Czy obowiązujące zasady dotyczące wpisania</w:t>
      </w:r>
      <w:r w:rsidR="00FE708B" w:rsidRPr="00FE708B">
        <w:rPr>
          <w:rFonts w:asciiTheme="minorHAnsi" w:eastAsiaTheme="minorHAnsi" w:hAnsiTheme="minorHAnsi" w:cstheme="minorHAnsi"/>
          <w:lang w:eastAsia="en-US"/>
        </w:rPr>
        <w:t xml:space="preserve"> usługodawcy</w:t>
      </w:r>
      <w:r w:rsidRPr="00FE708B">
        <w:rPr>
          <w:rFonts w:asciiTheme="minorHAnsi" w:eastAsiaTheme="minorHAnsi" w:hAnsiTheme="minorHAnsi" w:cstheme="minorHAnsi"/>
          <w:lang w:eastAsia="en-US"/>
        </w:rPr>
        <w:t xml:space="preserve"> do BUR sprzyjają podnoszeniu standardu świadczenia usług rozwojowych</w:t>
      </w:r>
      <w:r w:rsidRPr="00FE708B">
        <w:rPr>
          <w:rStyle w:val="Odwoanieprzypisudolnego"/>
          <w:rFonts w:asciiTheme="minorHAnsi" w:eastAsiaTheme="minorHAnsi" w:hAnsiTheme="minorHAnsi" w:cstheme="minorHAnsi"/>
          <w:lang w:eastAsia="en-US"/>
        </w:rPr>
        <w:footnoteReference w:id="11"/>
      </w:r>
      <w:r w:rsidRPr="00FE708B">
        <w:rPr>
          <w:rFonts w:asciiTheme="minorHAnsi" w:eastAsiaTheme="minorHAnsi" w:hAnsiTheme="minorHAnsi" w:cstheme="minorHAnsi"/>
          <w:lang w:eastAsia="en-US"/>
        </w:rPr>
        <w:t xml:space="preserve">? </w:t>
      </w:r>
    </w:p>
    <w:p w14:paraId="73B45D48" w14:textId="64802B27" w:rsidR="00080ED7" w:rsidRPr="00FE708B" w:rsidRDefault="002D5B78" w:rsidP="002D5B78">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Jak Operatorzy </w:t>
      </w:r>
      <w:r w:rsidR="00B26BBF" w:rsidRPr="00FE708B">
        <w:rPr>
          <w:rFonts w:asciiTheme="minorHAnsi" w:eastAsiaTheme="minorHAnsi" w:hAnsiTheme="minorHAnsi" w:cstheme="minorHAnsi"/>
          <w:lang w:eastAsia="en-US"/>
        </w:rPr>
        <w:t xml:space="preserve">i usługodawcy </w:t>
      </w:r>
      <w:r w:rsidRPr="00FE708B">
        <w:rPr>
          <w:rFonts w:asciiTheme="minorHAnsi" w:eastAsiaTheme="minorHAnsi" w:hAnsiTheme="minorHAnsi" w:cstheme="minorHAnsi"/>
          <w:lang w:eastAsia="en-US"/>
        </w:rPr>
        <w:t xml:space="preserve">oceniają </w:t>
      </w:r>
      <w:r w:rsidR="00B26BBF" w:rsidRPr="00FE708B">
        <w:rPr>
          <w:rFonts w:asciiTheme="minorHAnsi" w:eastAsiaTheme="minorHAnsi" w:hAnsiTheme="minorHAnsi" w:cstheme="minorHAnsi"/>
          <w:lang w:eastAsia="en-US"/>
        </w:rPr>
        <w:t>BUR/</w:t>
      </w:r>
      <w:r w:rsidRPr="00FE708B">
        <w:rPr>
          <w:rFonts w:asciiTheme="minorHAnsi" w:eastAsiaTheme="minorHAnsi" w:hAnsiTheme="minorHAnsi" w:cstheme="minorHAnsi"/>
          <w:lang w:eastAsia="en-US"/>
        </w:rPr>
        <w:t xml:space="preserve">PSF (założenia, warunki udziału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i realizacji</w:t>
      </w:r>
      <w:r w:rsidR="00080ED7" w:rsidRPr="00FE708B">
        <w:rPr>
          <w:rFonts w:asciiTheme="minorHAnsi" w:eastAsiaTheme="minorHAnsi" w:hAnsiTheme="minorHAnsi" w:cstheme="minorHAnsi"/>
          <w:lang w:eastAsia="en-US"/>
        </w:rPr>
        <w:t xml:space="preserve"> projektów objętych dofinansowaniem)?</w:t>
      </w:r>
      <w:r w:rsidRPr="00FE708B">
        <w:rPr>
          <w:rFonts w:asciiTheme="minorHAnsi" w:eastAsiaTheme="minorHAnsi" w:hAnsiTheme="minorHAnsi" w:cstheme="minorHAnsi"/>
          <w:lang w:eastAsia="en-US"/>
        </w:rPr>
        <w:t xml:space="preserve"> </w:t>
      </w:r>
    </w:p>
    <w:p w14:paraId="696B8C2A" w14:textId="22FCDE50" w:rsidR="00080ED7" w:rsidRPr="00FE708B" w:rsidRDefault="00080ED7" w:rsidP="00080ED7">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Czy obecność w BUR/PSF wpływa na zmianę strategii usługodawców, np. sprzedażowej, cenowej itp.</w:t>
      </w:r>
      <w:r w:rsidRPr="00FE708B">
        <w:rPr>
          <w:rStyle w:val="Odwoanieprzypisudolnego"/>
          <w:rFonts w:asciiTheme="minorHAnsi" w:eastAsiaTheme="minorHAnsi" w:hAnsiTheme="minorHAnsi" w:cstheme="minorHAnsi"/>
          <w:lang w:eastAsia="en-US"/>
        </w:rPr>
        <w:t xml:space="preserve"> </w:t>
      </w:r>
      <w:r w:rsidRPr="00FE708B">
        <w:rPr>
          <w:rStyle w:val="Odwoanieprzypisudolnego"/>
          <w:rFonts w:asciiTheme="minorHAnsi" w:eastAsiaTheme="minorHAnsi" w:hAnsiTheme="minorHAnsi" w:cstheme="minorHAnsi"/>
          <w:lang w:eastAsia="en-US"/>
        </w:rPr>
        <w:footnoteReference w:id="12"/>
      </w:r>
      <w:r w:rsidRPr="00FE708B">
        <w:rPr>
          <w:rFonts w:asciiTheme="minorHAnsi" w:eastAsiaTheme="minorHAnsi" w:hAnsiTheme="minorHAnsi" w:cstheme="minorHAnsi"/>
        </w:rPr>
        <w:t xml:space="preserve">? </w:t>
      </w:r>
    </w:p>
    <w:p w14:paraId="5DED0E95" w14:textId="77777777" w:rsidR="00080ED7" w:rsidRPr="00FE708B" w:rsidRDefault="00080ED7" w:rsidP="00080ED7">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Jak przedsiębiorcy, pracownicy i klienci indywidualni, usługodawcy oceniają współpracę z Operatorami? Jakie są mocne i słabe strony współpracy, jakie czynniki wpływają na ewentualne zróżnicowanie ocen współpracy z Operatorami?</w:t>
      </w:r>
    </w:p>
    <w:p w14:paraId="6A555679" w14:textId="77777777" w:rsidR="00B26BBF" w:rsidRPr="00FE708B" w:rsidRDefault="00B26BBF" w:rsidP="00B26BBF">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Jak kształtuje się dostępność usług rozwojowych z perspektywy potrzeb zgłaszanych przez przedsiębiorców i pracowników  oraz klientów indywidualnych? Jeżeli występuje deprywacja to w jakich obszarach i jakie są jej przyczyny i co należy zrobić, aby zmniejszyć poziom niedopasowania do potrzeb? </w:t>
      </w:r>
    </w:p>
    <w:p w14:paraId="66E352D2" w14:textId="4A9F8362" w:rsidR="000B2B55" w:rsidRPr="00FE708B" w:rsidRDefault="000B2B55"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 jaki sposób przedsiębiorcy</w:t>
      </w:r>
      <w:r w:rsidR="009A335D" w:rsidRPr="00FE708B">
        <w:rPr>
          <w:rFonts w:asciiTheme="minorHAnsi" w:eastAsiaTheme="minorHAnsi" w:hAnsiTheme="minorHAnsi" w:cstheme="minorHAnsi"/>
          <w:lang w:eastAsia="en-US"/>
        </w:rPr>
        <w:t>, pracownicy i klienci indywidualni</w:t>
      </w:r>
      <w:r w:rsidRPr="00FE708B">
        <w:rPr>
          <w:rFonts w:asciiTheme="minorHAnsi" w:eastAsiaTheme="minorHAnsi" w:hAnsiTheme="minorHAnsi" w:cstheme="minorHAnsi"/>
          <w:lang w:eastAsia="en-US"/>
        </w:rPr>
        <w:t xml:space="preserve"> dowiadują się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o BUR</w:t>
      </w:r>
      <w:r w:rsidR="00080ED7" w:rsidRPr="00FE708B">
        <w:rPr>
          <w:rFonts w:asciiTheme="minorHAnsi" w:eastAsiaTheme="minorHAnsi" w:hAnsiTheme="minorHAnsi" w:cstheme="minorHAnsi"/>
          <w:lang w:eastAsia="en-US"/>
        </w:rPr>
        <w:t>/PSF</w:t>
      </w:r>
      <w:r w:rsidRPr="00FE708B">
        <w:rPr>
          <w:rFonts w:asciiTheme="minorHAnsi" w:eastAsiaTheme="minorHAnsi" w:hAnsiTheme="minorHAnsi" w:cstheme="minorHAnsi"/>
          <w:lang w:eastAsia="en-US"/>
        </w:rPr>
        <w:t>? Jaka jest rola Operatorów w dystrybucji informacji na temat BUR</w:t>
      </w:r>
      <w:r w:rsidR="00080ED7" w:rsidRPr="00FE708B">
        <w:rPr>
          <w:rFonts w:asciiTheme="minorHAnsi" w:eastAsiaTheme="minorHAnsi" w:hAnsiTheme="minorHAnsi" w:cstheme="minorHAnsi"/>
          <w:lang w:eastAsia="en-US"/>
        </w:rPr>
        <w:t>/PSF</w:t>
      </w:r>
      <w:r w:rsidRPr="00FE708B">
        <w:rPr>
          <w:rFonts w:asciiTheme="minorHAnsi" w:eastAsiaTheme="minorHAnsi" w:hAnsiTheme="minorHAnsi" w:cstheme="minorHAnsi"/>
          <w:lang w:eastAsia="en-US"/>
        </w:rPr>
        <w:t xml:space="preserve">? </w:t>
      </w:r>
      <w:r w:rsidR="003D2BF9">
        <w:rPr>
          <w:rFonts w:asciiTheme="minorHAnsi" w:eastAsiaTheme="minorHAnsi" w:hAnsiTheme="minorHAnsi" w:cstheme="minorHAnsi"/>
          <w:lang w:eastAsia="en-US"/>
        </w:rPr>
        <w:br/>
      </w:r>
      <w:r w:rsidR="008B2B6C" w:rsidRPr="00FE708B">
        <w:rPr>
          <w:rFonts w:asciiTheme="minorHAnsi" w:eastAsiaTheme="minorHAnsi" w:hAnsiTheme="minorHAnsi" w:cstheme="minorHAnsi"/>
          <w:lang w:eastAsia="en-US"/>
        </w:rPr>
        <w:t>W jaki sposób operatorzy docierają z ofertą do usługodawców</w:t>
      </w:r>
      <w:r w:rsidR="0080182E" w:rsidRPr="00FE708B">
        <w:rPr>
          <w:rFonts w:asciiTheme="minorHAnsi" w:eastAsiaTheme="minorHAnsi" w:hAnsiTheme="minorHAnsi" w:cstheme="minorHAnsi"/>
          <w:lang w:eastAsia="en-US"/>
        </w:rPr>
        <w:t xml:space="preserve"> i usługobiorców</w:t>
      </w:r>
      <w:r w:rsidR="008B2B6C"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Czy występują trudności w docieraniu z informacją nt. BUR</w:t>
      </w:r>
      <w:r w:rsidR="00667696" w:rsidRPr="00FE708B">
        <w:rPr>
          <w:rFonts w:asciiTheme="minorHAnsi" w:eastAsiaTheme="minorHAnsi" w:hAnsiTheme="minorHAnsi" w:cstheme="minorHAnsi"/>
          <w:lang w:eastAsia="en-US"/>
        </w:rPr>
        <w:t>/PSF</w:t>
      </w:r>
      <w:r w:rsidRPr="00FE708B">
        <w:rPr>
          <w:rFonts w:asciiTheme="minorHAnsi" w:eastAsiaTheme="minorHAnsi" w:hAnsiTheme="minorHAnsi" w:cstheme="minorHAnsi"/>
          <w:lang w:eastAsia="en-US"/>
        </w:rPr>
        <w:t xml:space="preserve"> do potencjalnych klientów? </w:t>
      </w:r>
      <w:r w:rsidR="009C3B2A" w:rsidRPr="00FE708B">
        <w:rPr>
          <w:rFonts w:asciiTheme="minorHAnsi" w:eastAsiaTheme="minorHAnsi" w:hAnsiTheme="minorHAnsi" w:cstheme="minorHAnsi"/>
          <w:lang w:eastAsia="en-US"/>
        </w:rPr>
        <w:t>Jeżeli tak, to na czym one polegają?</w:t>
      </w:r>
    </w:p>
    <w:p w14:paraId="39ED2D96" w14:textId="46C9F2CD" w:rsidR="00080ED7" w:rsidRPr="00FE708B" w:rsidRDefault="00D25126"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 jaki sposób przedsiębiorcy</w:t>
      </w:r>
      <w:r w:rsidR="006830B3"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pracownicy</w:t>
      </w:r>
      <w:r w:rsidR="006830B3" w:rsidRPr="00FE708B">
        <w:rPr>
          <w:rFonts w:asciiTheme="minorHAnsi" w:eastAsiaTheme="minorHAnsi" w:hAnsiTheme="minorHAnsi" w:cstheme="minorHAnsi"/>
          <w:lang w:eastAsia="en-US"/>
        </w:rPr>
        <w:t xml:space="preserve"> i klienci indywidualni</w:t>
      </w:r>
      <w:r w:rsidRPr="00FE708B">
        <w:rPr>
          <w:rFonts w:asciiTheme="minorHAnsi" w:eastAsiaTheme="minorHAnsi" w:hAnsiTheme="minorHAnsi" w:cstheme="minorHAnsi"/>
          <w:lang w:eastAsia="en-US"/>
        </w:rPr>
        <w:t xml:space="preserve"> dokonują wyboru usługi rozwojowej? (np. BUR jako narzędzie podstawowe, BUR jako narzędzie wspomagające lub BUR jako jedynie narzędzie formalne – niezbędne skorzystanie </w:t>
      </w:r>
      <w:r w:rsidR="003D2BF9">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lastRenderedPageBreak/>
        <w:t xml:space="preserve">z Bazy do </w:t>
      </w:r>
      <w:r w:rsidR="0080182E" w:rsidRPr="00FE708B">
        <w:rPr>
          <w:rFonts w:asciiTheme="minorHAnsi" w:eastAsiaTheme="minorHAnsi" w:hAnsiTheme="minorHAnsi" w:cstheme="minorHAnsi"/>
          <w:lang w:eastAsia="en-US"/>
        </w:rPr>
        <w:t xml:space="preserve">zawarcia </w:t>
      </w:r>
      <w:r w:rsidRPr="00FE708B">
        <w:rPr>
          <w:rFonts w:asciiTheme="minorHAnsi" w:eastAsiaTheme="minorHAnsi" w:hAnsiTheme="minorHAnsi" w:cstheme="minorHAnsi"/>
          <w:lang w:eastAsia="en-US"/>
        </w:rPr>
        <w:t>transakcji współfinansowanej z PSF;</w:t>
      </w:r>
      <w:r w:rsidR="00763216" w:rsidRPr="00FE708B">
        <w:rPr>
          <w:rFonts w:asciiTheme="minorHAnsi" w:eastAsiaTheme="minorHAnsi" w:hAnsiTheme="minorHAnsi" w:cstheme="minorHAnsi"/>
          <w:lang w:eastAsia="en-US"/>
        </w:rPr>
        <w:t xml:space="preserve"> funkcjonowanie giełdy ogłoszeń</w:t>
      </w:r>
      <w:r w:rsidR="009C3B2A" w:rsidRPr="00FE708B">
        <w:rPr>
          <w:rFonts w:asciiTheme="minorHAnsi" w:eastAsiaTheme="minorHAnsi" w:hAnsiTheme="minorHAnsi" w:cstheme="minorHAnsi"/>
          <w:lang w:eastAsia="en-US"/>
        </w:rPr>
        <w:t xml:space="preserve">, </w:t>
      </w:r>
      <w:r w:rsidR="00763216" w:rsidRPr="00FE708B">
        <w:rPr>
          <w:rFonts w:asciiTheme="minorHAnsi" w:eastAsiaTheme="minorHAnsi" w:hAnsiTheme="minorHAnsi" w:cstheme="minorHAnsi"/>
          <w:lang w:eastAsia="en-US"/>
        </w:rPr>
        <w:t>indywidualizacja usług rozwojowych</w:t>
      </w:r>
      <w:r w:rsidR="00763216" w:rsidRPr="00FE708B">
        <w:rPr>
          <w:rFonts w:asciiTheme="minorHAnsi" w:eastAsiaTheme="minorHAnsi" w:hAnsiTheme="minorHAnsi" w:cstheme="minorHAnsi"/>
          <w:vertAlign w:val="superscript"/>
        </w:rPr>
        <w:footnoteReference w:id="13"/>
      </w:r>
      <w:r w:rsidR="00763216" w:rsidRPr="00FE708B">
        <w:rPr>
          <w:rFonts w:asciiTheme="minorHAnsi" w:eastAsiaTheme="minorHAnsi" w:hAnsiTheme="minorHAnsi" w:cstheme="minorHAnsi"/>
          <w:lang w:eastAsia="en-US"/>
        </w:rPr>
        <w:t xml:space="preserve">, </w:t>
      </w:r>
      <w:r w:rsidR="003D2BF9">
        <w:rPr>
          <w:rFonts w:asciiTheme="minorHAnsi" w:eastAsiaTheme="minorHAnsi" w:hAnsiTheme="minorHAnsi" w:cstheme="minorHAnsi"/>
          <w:lang w:eastAsia="en-US"/>
        </w:rPr>
        <w:t xml:space="preserve">korzystanie z systemu ocen </w:t>
      </w:r>
      <w:r w:rsidRPr="00FE708B">
        <w:rPr>
          <w:rFonts w:asciiTheme="minorHAnsi" w:eastAsiaTheme="minorHAnsi" w:hAnsiTheme="minorHAnsi" w:cstheme="minorHAnsi"/>
          <w:lang w:eastAsia="en-US"/>
        </w:rPr>
        <w:t xml:space="preserve"> itp.)</w:t>
      </w:r>
      <w:r w:rsidR="000B2B55" w:rsidRPr="00FE708B">
        <w:rPr>
          <w:rFonts w:asciiTheme="minorHAnsi" w:eastAsiaTheme="minorHAnsi" w:hAnsiTheme="minorHAnsi" w:cstheme="minorHAnsi"/>
          <w:lang w:eastAsia="en-US"/>
        </w:rPr>
        <w:t>?</w:t>
      </w:r>
      <w:r w:rsidR="006830B3" w:rsidRPr="00FE708B">
        <w:rPr>
          <w:rFonts w:asciiTheme="minorHAnsi" w:eastAsiaTheme="minorHAnsi" w:hAnsiTheme="minorHAnsi" w:cstheme="minorHAnsi"/>
          <w:lang w:eastAsia="en-US"/>
        </w:rPr>
        <w:t xml:space="preserve"> </w:t>
      </w:r>
    </w:p>
    <w:p w14:paraId="5AFAB187" w14:textId="4C748FB8" w:rsidR="008A5E44" w:rsidRPr="00FE708B" w:rsidRDefault="006830B3"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Jak wygląda współpraca </w:t>
      </w:r>
      <w:r w:rsidR="00080ED7" w:rsidRPr="00FE708B">
        <w:rPr>
          <w:rFonts w:asciiTheme="minorHAnsi" w:eastAsiaTheme="minorHAnsi" w:hAnsiTheme="minorHAnsi" w:cstheme="minorHAnsi"/>
          <w:lang w:eastAsia="en-US"/>
        </w:rPr>
        <w:t xml:space="preserve">przedsiębiorców, pracowników i klientów indywidualnych </w:t>
      </w:r>
      <w:r w:rsidR="003D2BF9">
        <w:rPr>
          <w:rFonts w:asciiTheme="minorHAnsi" w:eastAsiaTheme="minorHAnsi" w:hAnsiTheme="minorHAnsi" w:cstheme="minorHAnsi"/>
          <w:lang w:eastAsia="en-US"/>
        </w:rPr>
        <w:br/>
      </w:r>
      <w:r w:rsidR="00DD26E2" w:rsidRPr="00FE708B">
        <w:rPr>
          <w:rFonts w:asciiTheme="minorHAnsi" w:eastAsiaTheme="minorHAnsi" w:hAnsiTheme="minorHAnsi" w:cstheme="minorHAnsi"/>
          <w:lang w:eastAsia="en-US"/>
        </w:rPr>
        <w:t xml:space="preserve">z </w:t>
      </w:r>
      <w:r w:rsidRPr="00FE708B">
        <w:rPr>
          <w:rFonts w:asciiTheme="minorHAnsi" w:eastAsiaTheme="minorHAnsi" w:hAnsiTheme="minorHAnsi" w:cstheme="minorHAnsi"/>
          <w:lang w:eastAsia="en-US"/>
        </w:rPr>
        <w:t>usługodawcą (np. kwestia ewentualnego przejmowania przez usługodawcę spraw związanych z rozliczaniem projektu przez przedsiębiorcę, pracownika lub klienta indywidualnego)?</w:t>
      </w:r>
    </w:p>
    <w:p w14:paraId="5E79604F" w14:textId="3DFE595E" w:rsidR="00D25126" w:rsidRPr="00FE708B" w:rsidRDefault="00D25126"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Jak przedsiębiorcy</w:t>
      </w:r>
      <w:r w:rsidR="006830B3"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pracownicy</w:t>
      </w:r>
      <w:r w:rsidR="006830B3" w:rsidRPr="00FE708B">
        <w:rPr>
          <w:rFonts w:asciiTheme="minorHAnsi" w:eastAsiaTheme="minorHAnsi" w:hAnsiTheme="minorHAnsi" w:cstheme="minorHAnsi"/>
          <w:lang w:eastAsia="en-US"/>
        </w:rPr>
        <w:t xml:space="preserve"> i klienci indywidualni</w:t>
      </w:r>
      <w:r w:rsidRPr="00FE708B">
        <w:rPr>
          <w:rFonts w:asciiTheme="minorHAnsi" w:eastAsiaTheme="minorHAnsi" w:hAnsiTheme="minorHAnsi" w:cstheme="minorHAnsi"/>
          <w:lang w:eastAsia="en-US"/>
        </w:rPr>
        <w:t xml:space="preserve"> oceniają jakość usług rozwojowych oferowanych za pośrednictwem BUR?</w:t>
      </w:r>
      <w:r w:rsidR="00F33CDE" w:rsidRPr="00FE708B">
        <w:rPr>
          <w:rFonts w:asciiTheme="minorHAnsi" w:eastAsiaTheme="minorHAnsi" w:hAnsiTheme="minorHAnsi" w:cstheme="minorHAnsi"/>
          <w:lang w:eastAsia="en-US"/>
        </w:rPr>
        <w:t xml:space="preserve"> </w:t>
      </w:r>
      <w:r w:rsidR="000B2B55" w:rsidRPr="00FE708B">
        <w:rPr>
          <w:rFonts w:asciiTheme="minorHAnsi" w:eastAsiaTheme="minorHAnsi" w:hAnsiTheme="minorHAnsi" w:cstheme="minorHAnsi"/>
          <w:lang w:eastAsia="en-US"/>
        </w:rPr>
        <w:t xml:space="preserve">Czy jakość usług dostępnych w Bazie różni się od jakości usług dostępnych na rynku komercyjnym (poza Bazą)? Czy korzystanie z BUR prowadzi do uzyskania kwalifikacji/kompetencji zgodnych </w:t>
      </w:r>
      <w:r w:rsidR="003D2BF9">
        <w:rPr>
          <w:rFonts w:asciiTheme="minorHAnsi" w:eastAsiaTheme="minorHAnsi" w:hAnsiTheme="minorHAnsi" w:cstheme="minorHAnsi"/>
          <w:lang w:eastAsia="en-US"/>
        </w:rPr>
        <w:br/>
      </w:r>
      <w:r w:rsidR="000B2B55" w:rsidRPr="00FE708B">
        <w:rPr>
          <w:rFonts w:asciiTheme="minorHAnsi" w:eastAsiaTheme="minorHAnsi" w:hAnsiTheme="minorHAnsi" w:cstheme="minorHAnsi"/>
          <w:lang w:eastAsia="en-US"/>
        </w:rPr>
        <w:t>z wytycznymi Wspólnej Listy Wskaźników Kluczowych (WLKW)</w:t>
      </w:r>
      <w:r w:rsidR="000B2B55" w:rsidRPr="00FE708B">
        <w:rPr>
          <w:rStyle w:val="Odwoanieprzypisudolnego"/>
          <w:rFonts w:asciiTheme="minorHAnsi" w:eastAsiaTheme="minorHAnsi" w:hAnsiTheme="minorHAnsi" w:cstheme="minorHAnsi"/>
          <w:lang w:eastAsia="en-US"/>
        </w:rPr>
        <w:footnoteReference w:id="14"/>
      </w:r>
      <w:r w:rsidR="000B2B55" w:rsidRPr="00FE708B">
        <w:rPr>
          <w:rFonts w:asciiTheme="minorHAnsi" w:eastAsiaTheme="minorHAnsi" w:hAnsiTheme="minorHAnsi" w:cstheme="minorHAnsi"/>
          <w:lang w:eastAsia="en-US"/>
        </w:rPr>
        <w:t xml:space="preserve">? </w:t>
      </w:r>
      <w:r w:rsidR="00F33CDE" w:rsidRPr="00FE708B">
        <w:rPr>
          <w:rFonts w:asciiTheme="minorHAnsi" w:eastAsiaTheme="minorHAnsi" w:hAnsiTheme="minorHAnsi" w:cstheme="minorHAnsi"/>
          <w:lang w:eastAsia="en-US"/>
        </w:rPr>
        <w:t xml:space="preserve">Jak przedsiębiorcy </w:t>
      </w:r>
      <w:r w:rsidR="003D2BF9">
        <w:rPr>
          <w:rFonts w:asciiTheme="minorHAnsi" w:eastAsiaTheme="minorHAnsi" w:hAnsiTheme="minorHAnsi" w:cstheme="minorHAnsi"/>
          <w:lang w:eastAsia="en-US"/>
        </w:rPr>
        <w:br/>
      </w:r>
      <w:r w:rsidR="00F33CDE" w:rsidRPr="00FE708B">
        <w:rPr>
          <w:rFonts w:asciiTheme="minorHAnsi" w:eastAsiaTheme="minorHAnsi" w:hAnsiTheme="minorHAnsi" w:cstheme="minorHAnsi"/>
          <w:lang w:eastAsia="en-US"/>
        </w:rPr>
        <w:t xml:space="preserve">i pracownicy oceniają ceny usług rozwojowych znajdujących się w BUR? </w:t>
      </w:r>
      <w:r w:rsidR="00D479C2" w:rsidRPr="00FE708B">
        <w:rPr>
          <w:rFonts w:asciiTheme="minorHAnsi" w:eastAsiaTheme="minorHAnsi" w:hAnsiTheme="minorHAnsi" w:cstheme="minorHAnsi"/>
          <w:lang w:eastAsia="en-US"/>
        </w:rPr>
        <w:t>Czy bez finansowania z EFS przedsiębiorcy i osoby fizyczne również korzysta</w:t>
      </w:r>
      <w:r w:rsidR="009C3B2A" w:rsidRPr="00FE708B">
        <w:rPr>
          <w:rFonts w:asciiTheme="minorHAnsi" w:eastAsiaTheme="minorHAnsi" w:hAnsiTheme="minorHAnsi" w:cstheme="minorHAnsi"/>
          <w:lang w:eastAsia="en-US"/>
        </w:rPr>
        <w:t>li</w:t>
      </w:r>
      <w:r w:rsidR="00D479C2" w:rsidRPr="00FE708B">
        <w:rPr>
          <w:rFonts w:asciiTheme="minorHAnsi" w:eastAsiaTheme="minorHAnsi" w:hAnsiTheme="minorHAnsi" w:cstheme="minorHAnsi"/>
          <w:lang w:eastAsia="en-US"/>
        </w:rPr>
        <w:t>by z BUR</w:t>
      </w:r>
      <w:r w:rsidR="009C3B2A" w:rsidRPr="00FE708B">
        <w:rPr>
          <w:rFonts w:asciiTheme="minorHAnsi" w:eastAsiaTheme="minorHAnsi" w:hAnsiTheme="minorHAnsi" w:cstheme="minorHAnsi"/>
          <w:lang w:eastAsia="en-US"/>
        </w:rPr>
        <w:t>? Czy bez finansowania z EFS przedsiębiorcy i osoby fizyczne skorzystaliby z podobnej usługi rozwojowej na zasadach komercyjnych?</w:t>
      </w:r>
    </w:p>
    <w:p w14:paraId="71708F7D" w14:textId="77777777" w:rsidR="00D479C2" w:rsidRPr="00FE708B" w:rsidRDefault="00D479C2" w:rsidP="009B4369">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Czy usługi rozwojowe oferowane za pośrednictwem BUR przyczyniają się do rozwoju przedsiębiorstw (podnoszenia ich konkurencyjności)? </w:t>
      </w:r>
      <w:r w:rsidR="009C3B2A" w:rsidRPr="00FE708B">
        <w:rPr>
          <w:rFonts w:asciiTheme="minorHAnsi" w:eastAsiaTheme="minorHAnsi" w:hAnsiTheme="minorHAnsi" w:cstheme="minorHAnsi"/>
          <w:lang w:eastAsia="en-US"/>
        </w:rPr>
        <w:t xml:space="preserve">Jeśli tak to w jakim zakresie? </w:t>
      </w:r>
      <w:r w:rsidRPr="00FE708B">
        <w:rPr>
          <w:rFonts w:asciiTheme="minorHAnsi" w:eastAsiaTheme="minorHAnsi" w:hAnsiTheme="minorHAnsi" w:cstheme="minorHAnsi"/>
          <w:lang w:eastAsia="en-US"/>
        </w:rPr>
        <w:t>Czy usługi rozwojowe, z których skorzystali pracownicy wyposażyły ich w wiedzę i umiejętności wykorzystywane w codziennej pracy?</w:t>
      </w:r>
    </w:p>
    <w:p w14:paraId="063D919E" w14:textId="77777777" w:rsidR="00BC23A6" w:rsidRPr="00FE708B" w:rsidRDefault="00483E0F" w:rsidP="00323DCD">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O jakie </w:t>
      </w:r>
      <w:r w:rsidR="003D76A2" w:rsidRPr="00FE708B">
        <w:rPr>
          <w:rFonts w:asciiTheme="minorHAnsi" w:eastAsiaTheme="minorHAnsi" w:hAnsiTheme="minorHAnsi" w:cstheme="minorHAnsi"/>
          <w:lang w:eastAsia="en-US"/>
        </w:rPr>
        <w:t>obszary</w:t>
      </w:r>
      <w:r w:rsidRPr="00FE708B">
        <w:rPr>
          <w:rFonts w:asciiTheme="minorHAnsi" w:eastAsiaTheme="minorHAnsi" w:hAnsiTheme="minorHAnsi" w:cstheme="minorHAnsi"/>
          <w:lang w:eastAsia="en-US"/>
        </w:rPr>
        <w:t xml:space="preserve"> warto uzupełnić </w:t>
      </w:r>
      <w:r w:rsidR="009C3B2A" w:rsidRPr="00FE708B">
        <w:rPr>
          <w:rFonts w:asciiTheme="minorHAnsi" w:eastAsiaTheme="minorHAnsi" w:hAnsiTheme="minorHAnsi" w:cstheme="minorHAnsi"/>
          <w:lang w:eastAsia="en-US"/>
        </w:rPr>
        <w:t>BUR</w:t>
      </w:r>
      <w:r w:rsidR="003D76A2" w:rsidRPr="00FE708B">
        <w:rPr>
          <w:rFonts w:asciiTheme="minorHAnsi" w:eastAsiaTheme="minorHAnsi" w:hAnsiTheme="minorHAnsi" w:cstheme="minorHAnsi"/>
          <w:lang w:eastAsia="en-US"/>
        </w:rPr>
        <w:t>/PSF</w:t>
      </w:r>
      <w:r w:rsidR="008B7737" w:rsidRPr="00FE708B">
        <w:rPr>
          <w:rFonts w:asciiTheme="minorHAnsi" w:eastAsiaTheme="minorHAnsi" w:hAnsiTheme="minorHAnsi" w:cstheme="minorHAnsi"/>
          <w:lang w:eastAsia="en-US"/>
        </w:rPr>
        <w:t>, w jakich obszarach BUR</w:t>
      </w:r>
      <w:r w:rsidR="003D76A2" w:rsidRPr="00FE708B">
        <w:rPr>
          <w:rFonts w:asciiTheme="minorHAnsi" w:eastAsiaTheme="minorHAnsi" w:hAnsiTheme="minorHAnsi" w:cstheme="minorHAnsi"/>
          <w:lang w:eastAsia="en-US"/>
        </w:rPr>
        <w:t>/PSF</w:t>
      </w:r>
      <w:r w:rsidR="008B7737" w:rsidRPr="00FE708B">
        <w:rPr>
          <w:rFonts w:asciiTheme="minorHAnsi" w:eastAsiaTheme="minorHAnsi" w:hAnsiTheme="minorHAnsi" w:cstheme="minorHAnsi"/>
          <w:lang w:eastAsia="en-US"/>
        </w:rPr>
        <w:t xml:space="preserve"> może sprawdzić się najlepiej</w:t>
      </w:r>
      <w:r w:rsidRPr="00FE708B">
        <w:rPr>
          <w:rFonts w:asciiTheme="minorHAnsi" w:eastAsiaTheme="minorHAnsi" w:hAnsiTheme="minorHAnsi" w:cstheme="minorHAnsi"/>
          <w:lang w:eastAsia="en-US"/>
        </w:rPr>
        <w:t xml:space="preserve">? (np.  </w:t>
      </w:r>
      <w:r w:rsidR="008B7737" w:rsidRPr="00FE708B">
        <w:rPr>
          <w:rFonts w:asciiTheme="minorHAnsi" w:eastAsiaTheme="minorHAnsi" w:hAnsiTheme="minorHAnsi" w:cstheme="minorHAnsi"/>
          <w:lang w:eastAsia="en-US"/>
        </w:rPr>
        <w:t>BUR</w:t>
      </w:r>
      <w:r w:rsidR="003D76A2" w:rsidRPr="00FE708B">
        <w:rPr>
          <w:rFonts w:asciiTheme="minorHAnsi" w:eastAsiaTheme="minorHAnsi" w:hAnsiTheme="minorHAnsi" w:cstheme="minorHAnsi"/>
          <w:lang w:eastAsia="en-US"/>
        </w:rPr>
        <w:t>/PSF</w:t>
      </w:r>
      <w:r w:rsidR="008B7737" w:rsidRPr="00FE708B">
        <w:rPr>
          <w:rFonts w:asciiTheme="minorHAnsi" w:eastAsiaTheme="minorHAnsi" w:hAnsiTheme="minorHAnsi" w:cstheme="minorHAnsi"/>
          <w:lang w:eastAsia="en-US"/>
        </w:rPr>
        <w:t xml:space="preserve"> jako narzędzie wykorzystywane na potrzeby rozwoju szeroko rozumianego kształcenia ustawicznego</w:t>
      </w:r>
      <w:r w:rsidR="00E23CEB" w:rsidRPr="00FE708B">
        <w:rPr>
          <w:rFonts w:asciiTheme="minorHAnsi" w:eastAsiaTheme="minorHAnsi" w:hAnsiTheme="minorHAnsi" w:cstheme="minorHAnsi"/>
          <w:lang w:eastAsia="en-US"/>
        </w:rPr>
        <w:t>, wspierania rozwoju przedsiębiorstw społecznych, itp.</w:t>
      </w:r>
      <w:r w:rsidRPr="00FE708B">
        <w:rPr>
          <w:rFonts w:asciiTheme="minorHAnsi" w:eastAsiaTheme="minorHAnsi" w:hAnsiTheme="minorHAnsi" w:cstheme="minorHAnsi"/>
          <w:lang w:eastAsia="en-US"/>
        </w:rPr>
        <w:t>)</w:t>
      </w:r>
    </w:p>
    <w:p w14:paraId="55820FEC" w14:textId="2FA29C77" w:rsidR="00EA481D" w:rsidRPr="00FE708B" w:rsidRDefault="00F33CDE" w:rsidP="00EA481D">
      <w:pPr>
        <w:pStyle w:val="NormalnyWeb"/>
        <w:numPr>
          <w:ilvl w:val="0"/>
          <w:numId w:val="4"/>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Jak </w:t>
      </w:r>
      <w:r w:rsidR="000C71CA" w:rsidRPr="00FE708B">
        <w:rPr>
          <w:rFonts w:asciiTheme="minorHAnsi" w:eastAsiaTheme="minorHAnsi" w:hAnsiTheme="minorHAnsi" w:cstheme="minorHAnsi"/>
          <w:lang w:eastAsia="en-US"/>
        </w:rPr>
        <w:t xml:space="preserve">należy ocenić </w:t>
      </w:r>
      <w:r w:rsidRPr="00FE708B">
        <w:rPr>
          <w:rFonts w:asciiTheme="minorHAnsi" w:eastAsiaTheme="minorHAnsi" w:hAnsiTheme="minorHAnsi" w:cstheme="minorHAnsi"/>
          <w:lang w:eastAsia="en-US"/>
        </w:rPr>
        <w:t>poszczególne modele</w:t>
      </w:r>
      <w:r w:rsidR="00FE708B" w:rsidRPr="00FE708B">
        <w:rPr>
          <w:rStyle w:val="Odwoanieprzypisudolnego"/>
          <w:rFonts w:asciiTheme="minorHAnsi" w:eastAsiaTheme="minorHAnsi" w:hAnsiTheme="minorHAnsi" w:cstheme="minorHAnsi"/>
          <w:lang w:eastAsia="en-US"/>
        </w:rPr>
        <w:footnoteReference w:id="15"/>
      </w:r>
      <w:r w:rsidRPr="00FE708B">
        <w:rPr>
          <w:rFonts w:asciiTheme="minorHAnsi" w:eastAsiaTheme="minorHAnsi" w:hAnsiTheme="minorHAnsi" w:cstheme="minorHAnsi"/>
          <w:lang w:eastAsia="en-US"/>
        </w:rPr>
        <w:t xml:space="preserve"> dystrybucji środków</w:t>
      </w:r>
      <w:r w:rsidR="00E23CEB" w:rsidRPr="00FE708B">
        <w:rPr>
          <w:rFonts w:asciiTheme="minorHAnsi" w:eastAsiaTheme="minorHAnsi" w:hAnsiTheme="minorHAnsi" w:cstheme="minorHAnsi"/>
          <w:lang w:eastAsia="en-US"/>
        </w:rPr>
        <w:t xml:space="preserve">? </w:t>
      </w:r>
    </w:p>
    <w:p w14:paraId="3348D75A" w14:textId="77777777" w:rsidR="003D2BF9" w:rsidRDefault="003D2BF9" w:rsidP="00EA481D">
      <w:pPr>
        <w:pStyle w:val="NormalnyWeb"/>
        <w:shd w:val="clear" w:color="auto" w:fill="FFFFFF"/>
        <w:spacing w:before="120" w:after="120" w:line="360" w:lineRule="auto"/>
        <w:ind w:left="360"/>
        <w:rPr>
          <w:rFonts w:asciiTheme="minorHAnsi" w:eastAsiaTheme="minorHAnsi" w:hAnsiTheme="minorHAnsi" w:cstheme="minorHAnsi"/>
          <w:lang w:eastAsia="en-US"/>
        </w:rPr>
      </w:pPr>
    </w:p>
    <w:p w14:paraId="030820C3" w14:textId="6509CA8E" w:rsidR="00D4698E" w:rsidRPr="00FE708B" w:rsidRDefault="00E23CEB" w:rsidP="00EA481D">
      <w:pPr>
        <w:pStyle w:val="NormalnyWeb"/>
        <w:shd w:val="clear" w:color="auto" w:fill="FFFFFF"/>
        <w:spacing w:before="120" w:after="120" w:line="360" w:lineRule="auto"/>
        <w:ind w:left="360"/>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Wykonawca powinien zatem dokonać analizy każdego z funkcjonujących modeli pod kątem ich efektywności, skuteczności i użyteczności, np. zbadać, czy różnice w systemie (kryteriach) wyboru operatorów mają wpływ na dalsze działania realizowane w ramach PSF, czy system płatności i inne czynniki zachęcają, zniechęcają do korzystania z PSF</w:t>
      </w:r>
      <w:r w:rsidR="00C52538" w:rsidRPr="00FE708B">
        <w:rPr>
          <w:rFonts w:asciiTheme="minorHAnsi" w:eastAsiaTheme="minorHAnsi" w:hAnsiTheme="minorHAnsi" w:cstheme="minorHAnsi"/>
          <w:lang w:eastAsia="en-US"/>
        </w:rPr>
        <w:t>, czy kosztochłonność poszczególnych modeli jest zróżnicowana (w tym efektywność kosztowa samych usług rozwojowych, zapewnianych w danym modelu)</w:t>
      </w:r>
      <w:r w:rsidRPr="00FE708B">
        <w:rPr>
          <w:rFonts w:asciiTheme="minorHAnsi" w:eastAsiaTheme="minorHAnsi" w:hAnsiTheme="minorHAnsi" w:cstheme="minorHAnsi"/>
          <w:lang w:eastAsia="en-US"/>
        </w:rPr>
        <w:t>?</w:t>
      </w:r>
      <w:r w:rsidR="00D4698E" w:rsidRPr="00FE708B">
        <w:rPr>
          <w:rFonts w:asciiTheme="minorHAnsi" w:eastAsiaTheme="minorHAnsi" w:hAnsiTheme="minorHAnsi" w:cstheme="minorHAnsi"/>
          <w:lang w:eastAsia="en-US"/>
        </w:rPr>
        <w:t xml:space="preserve"> </w:t>
      </w:r>
    </w:p>
    <w:p w14:paraId="69DD7B74" w14:textId="77777777" w:rsidR="00D4698E" w:rsidRPr="00FE708B" w:rsidRDefault="00E23CEB" w:rsidP="00FE708B">
      <w:pPr>
        <w:pStyle w:val="NormalnyWeb"/>
        <w:shd w:val="clear" w:color="auto" w:fill="FFFFFF"/>
        <w:spacing w:before="120" w:after="120" w:line="360" w:lineRule="auto"/>
        <w:ind w:left="360"/>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Zwracamy uwagę, że analizie powinno zostać poddane działanie samych Operatorów. Nie można bowiem wykluczyć, że to ich działania (np. kwestie związane z elastycznością podejścia do przedsiębiorcy) będą miały większy wpływ na funkcjonowanie systemu niż same założenia towarzyszące poszczególnym modelom dystrybucji środków w ramach PSF.  </w:t>
      </w:r>
    </w:p>
    <w:p w14:paraId="70D60E32" w14:textId="77777777" w:rsidR="00E23CEB" w:rsidRPr="00FE708B" w:rsidRDefault="00E23CEB" w:rsidP="00FE708B">
      <w:pPr>
        <w:pStyle w:val="NormalnyWeb"/>
        <w:shd w:val="clear" w:color="auto" w:fill="FFFFFF"/>
        <w:spacing w:before="120" w:after="120" w:line="360" w:lineRule="auto"/>
        <w:ind w:left="360"/>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Ocena poszczególnych modeli będzie wynikową zarówno analizy danych zastanych, jak również danych pozyskanych w trakcie badań jakościowych oraz ilościowych i powinna bazować na analizie głosów płynących od wszystkich interesariuszy.</w:t>
      </w:r>
    </w:p>
    <w:p w14:paraId="5EEB8B13" w14:textId="77777777" w:rsidR="00E66893" w:rsidRPr="00FE708B" w:rsidRDefault="00C12EDE" w:rsidP="001B56C4">
      <w:pPr>
        <w:pStyle w:val="N1"/>
        <w:ind w:left="357" w:hanging="357"/>
        <w:rPr>
          <w:rFonts w:asciiTheme="minorHAnsi" w:hAnsiTheme="minorHAnsi" w:cstheme="minorHAnsi"/>
        </w:rPr>
      </w:pPr>
      <w:bookmarkStart w:id="5" w:name="_Toc8896926"/>
      <w:r w:rsidRPr="00FE708B">
        <w:rPr>
          <w:rFonts w:asciiTheme="minorHAnsi" w:hAnsiTheme="minorHAnsi" w:cstheme="minorHAnsi"/>
        </w:rPr>
        <w:t>Metodologia badania</w:t>
      </w:r>
      <w:bookmarkEnd w:id="5"/>
      <w:r w:rsidRPr="00FE708B">
        <w:rPr>
          <w:rFonts w:asciiTheme="minorHAnsi" w:hAnsiTheme="minorHAnsi" w:cstheme="minorHAnsi"/>
        </w:rPr>
        <w:t xml:space="preserve"> </w:t>
      </w:r>
    </w:p>
    <w:p w14:paraId="0D433BEF" w14:textId="77777777" w:rsidR="005434C8" w:rsidRPr="00FE708B" w:rsidRDefault="00852F4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Badanie będzie się składało z następujących części:</w:t>
      </w:r>
    </w:p>
    <w:p w14:paraId="675F061B" w14:textId="77777777" w:rsidR="00852F41" w:rsidRPr="00FE708B" w:rsidRDefault="005872DF" w:rsidP="009B4369">
      <w:pPr>
        <w:pStyle w:val="NormalnyWeb"/>
        <w:numPr>
          <w:ilvl w:val="0"/>
          <w:numId w:val="6"/>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w:t>
      </w:r>
      <w:r w:rsidR="00852F41" w:rsidRPr="00FE708B">
        <w:rPr>
          <w:rFonts w:asciiTheme="minorHAnsi" w:eastAsiaTheme="minorHAnsi" w:hAnsiTheme="minorHAnsi" w:cstheme="minorHAnsi"/>
          <w:lang w:eastAsia="en-US"/>
        </w:rPr>
        <w:t>stępn</w:t>
      </w:r>
      <w:r w:rsidR="00E66893" w:rsidRPr="00FE708B">
        <w:rPr>
          <w:rFonts w:asciiTheme="minorHAnsi" w:eastAsiaTheme="minorHAnsi" w:hAnsiTheme="minorHAnsi" w:cstheme="minorHAnsi"/>
          <w:lang w:eastAsia="en-US"/>
        </w:rPr>
        <w:t>a</w:t>
      </w:r>
      <w:r w:rsidR="00852F41" w:rsidRPr="00FE708B">
        <w:rPr>
          <w:rFonts w:asciiTheme="minorHAnsi" w:eastAsiaTheme="minorHAnsi" w:hAnsiTheme="minorHAnsi" w:cstheme="minorHAnsi"/>
          <w:lang w:eastAsia="en-US"/>
        </w:rPr>
        <w:t xml:space="preserve"> – będzie służyła zapoznaniu się Wykonawcy z problematyką badania</w:t>
      </w:r>
      <w:r w:rsidRPr="00FE708B">
        <w:rPr>
          <w:rFonts w:asciiTheme="minorHAnsi" w:eastAsiaTheme="minorHAnsi" w:hAnsiTheme="minorHAnsi" w:cstheme="minorHAnsi"/>
          <w:lang w:eastAsia="en-US"/>
        </w:rPr>
        <w:t xml:space="preserve"> i</w:t>
      </w:r>
      <w:r w:rsidR="00852F41" w:rsidRPr="00FE708B">
        <w:rPr>
          <w:rFonts w:asciiTheme="minorHAnsi" w:eastAsiaTheme="minorHAnsi" w:hAnsiTheme="minorHAnsi" w:cstheme="minorHAnsi"/>
          <w:lang w:eastAsia="en-US"/>
        </w:rPr>
        <w:t xml:space="preserve"> opracowaniu jego ostatecznej metodologii</w:t>
      </w:r>
      <w:r w:rsidRPr="00FE708B">
        <w:rPr>
          <w:rFonts w:asciiTheme="minorHAnsi" w:eastAsiaTheme="minorHAnsi" w:hAnsiTheme="minorHAnsi" w:cstheme="minorHAnsi"/>
          <w:lang w:eastAsia="en-US"/>
        </w:rPr>
        <w:t>;</w:t>
      </w:r>
    </w:p>
    <w:p w14:paraId="437A222F" w14:textId="77777777" w:rsidR="005872DF" w:rsidRPr="00FE708B" w:rsidRDefault="005872DF" w:rsidP="009B4369">
      <w:pPr>
        <w:pStyle w:val="NormalnyWeb"/>
        <w:numPr>
          <w:ilvl w:val="0"/>
          <w:numId w:val="6"/>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Właściw</w:t>
      </w:r>
      <w:r w:rsidR="00E66893" w:rsidRPr="00FE708B">
        <w:rPr>
          <w:rFonts w:asciiTheme="minorHAnsi" w:eastAsiaTheme="minorHAnsi" w:hAnsiTheme="minorHAnsi" w:cstheme="minorHAnsi"/>
          <w:lang w:eastAsia="en-US"/>
        </w:rPr>
        <w:t>a</w:t>
      </w:r>
      <w:r w:rsidRPr="00FE708B">
        <w:rPr>
          <w:rFonts w:asciiTheme="minorHAnsi" w:eastAsiaTheme="minorHAnsi" w:hAnsiTheme="minorHAnsi" w:cstheme="minorHAnsi"/>
          <w:lang w:eastAsia="en-US"/>
        </w:rPr>
        <w:t xml:space="preserve"> – będzie służyła gromadzeniu </w:t>
      </w:r>
      <w:r w:rsidR="00CE0632" w:rsidRPr="00FE708B">
        <w:rPr>
          <w:rFonts w:asciiTheme="minorHAnsi" w:eastAsiaTheme="minorHAnsi" w:hAnsiTheme="minorHAnsi" w:cstheme="minorHAnsi"/>
          <w:lang w:eastAsia="en-US"/>
        </w:rPr>
        <w:t xml:space="preserve">większości </w:t>
      </w:r>
      <w:r w:rsidRPr="00FE708B">
        <w:rPr>
          <w:rFonts w:asciiTheme="minorHAnsi" w:eastAsiaTheme="minorHAnsi" w:hAnsiTheme="minorHAnsi" w:cstheme="minorHAnsi"/>
          <w:lang w:eastAsia="en-US"/>
        </w:rPr>
        <w:t>danych pierwotnych;</w:t>
      </w:r>
    </w:p>
    <w:p w14:paraId="3F7E3FE3" w14:textId="77777777" w:rsidR="005872DF" w:rsidRPr="00FE708B" w:rsidRDefault="005872DF" w:rsidP="009B4369">
      <w:pPr>
        <w:pStyle w:val="NormalnyWeb"/>
        <w:numPr>
          <w:ilvl w:val="0"/>
          <w:numId w:val="6"/>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Podsumowując</w:t>
      </w:r>
      <w:r w:rsidR="00E66893" w:rsidRPr="00FE708B">
        <w:rPr>
          <w:rFonts w:asciiTheme="minorHAnsi" w:eastAsiaTheme="minorHAnsi" w:hAnsiTheme="minorHAnsi" w:cstheme="minorHAnsi"/>
          <w:lang w:eastAsia="en-US"/>
        </w:rPr>
        <w:t>a</w:t>
      </w:r>
      <w:r w:rsidRPr="00FE708B">
        <w:rPr>
          <w:rFonts w:asciiTheme="minorHAnsi" w:eastAsiaTheme="minorHAnsi" w:hAnsiTheme="minorHAnsi" w:cstheme="minorHAnsi"/>
          <w:lang w:eastAsia="en-US"/>
        </w:rPr>
        <w:t xml:space="preserve"> – będzie służyła przeprowadzeniu analiz, opracowaniu raportu oraz prezentacji wyników badania;</w:t>
      </w:r>
    </w:p>
    <w:p w14:paraId="6965C6FF" w14:textId="77777777" w:rsidR="005872DF" w:rsidRPr="00FE708B" w:rsidRDefault="001B56C4" w:rsidP="009B4369">
      <w:pPr>
        <w:pStyle w:val="NormalnyWeb"/>
        <w:numPr>
          <w:ilvl w:val="0"/>
          <w:numId w:val="6"/>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Wsparcie Zamawiającego w zakresie konsultacji, aktualizacji i promocji wyników zamówienia.</w:t>
      </w:r>
    </w:p>
    <w:p w14:paraId="0090152F" w14:textId="77777777" w:rsidR="00C12EDE" w:rsidRPr="00FE708B" w:rsidRDefault="005872DF" w:rsidP="001B56C4">
      <w:pPr>
        <w:pStyle w:val="N2"/>
        <w:rPr>
          <w:rFonts w:asciiTheme="minorHAnsi" w:hAnsiTheme="minorHAnsi" w:cstheme="minorHAnsi"/>
        </w:rPr>
      </w:pPr>
      <w:bookmarkStart w:id="6" w:name="_Toc8896927"/>
      <w:r w:rsidRPr="00FE708B">
        <w:rPr>
          <w:rFonts w:asciiTheme="minorHAnsi" w:hAnsiTheme="minorHAnsi" w:cstheme="minorHAnsi"/>
        </w:rPr>
        <w:t>Cześć wstępna</w:t>
      </w:r>
      <w:bookmarkEnd w:id="6"/>
    </w:p>
    <w:p w14:paraId="328958CF" w14:textId="77777777" w:rsidR="005872DF" w:rsidRPr="00FE708B" w:rsidRDefault="005872DF" w:rsidP="001B56C4">
      <w:pPr>
        <w:pStyle w:val="N3"/>
        <w:rPr>
          <w:rFonts w:asciiTheme="minorHAnsi" w:hAnsiTheme="minorHAnsi" w:cstheme="minorHAnsi"/>
        </w:rPr>
      </w:pPr>
      <w:bookmarkStart w:id="7" w:name="_Toc8896928"/>
      <w:r w:rsidRPr="00FE708B">
        <w:rPr>
          <w:rFonts w:asciiTheme="minorHAnsi" w:hAnsiTheme="minorHAnsi" w:cstheme="minorHAnsi"/>
        </w:rPr>
        <w:t>Analiza danych zastanych</w:t>
      </w:r>
      <w:bookmarkEnd w:id="7"/>
    </w:p>
    <w:p w14:paraId="5A20C189" w14:textId="77777777" w:rsidR="00E77367" w:rsidRPr="00FE708B" w:rsidRDefault="00E77367"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Analiza danych zastanych powinna umożliwić Wykonawcy lepsze zapoznanie się z obszarem badawczym, dostarczyć wiedzę pozwalającą na określenie parametrów próby i sposobu jej doboru, jak również na przygotowanie narzędzi badawczych (zwłaszcza do badania jakościowego z przedstawicielami podmiotów odpowiedzialnych za BUR oraz PSF – IDI). Omawiany element badania jest także ważny z punktu widzenia zbierania informacji wspomagających Wykonawcę przy udzielaniu odpowiedzi na zawarte w niniejszym OPZ pytania badawcze.</w:t>
      </w:r>
    </w:p>
    <w:p w14:paraId="35AD7CEC" w14:textId="77777777" w:rsidR="004E1F05" w:rsidRPr="00FE708B" w:rsidRDefault="004E1F05"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W ramach analizy danych zastanych Wykonawca dokona przeglądu </w:t>
      </w:r>
      <w:r w:rsidR="00A438CE" w:rsidRPr="00FE708B">
        <w:rPr>
          <w:rFonts w:asciiTheme="minorHAnsi" w:eastAsiaTheme="minorHAnsi" w:hAnsiTheme="minorHAnsi" w:cstheme="minorHAnsi"/>
          <w:lang w:eastAsia="en-US"/>
        </w:rPr>
        <w:t xml:space="preserve">stosownych </w:t>
      </w:r>
      <w:r w:rsidRPr="00FE708B">
        <w:rPr>
          <w:rFonts w:asciiTheme="minorHAnsi" w:eastAsiaTheme="minorHAnsi" w:hAnsiTheme="minorHAnsi" w:cstheme="minorHAnsi"/>
          <w:lang w:eastAsia="en-US"/>
        </w:rPr>
        <w:t xml:space="preserve">dokumentów formalnych w </w:t>
      </w:r>
      <w:r w:rsidR="00A438CE" w:rsidRPr="00FE708B">
        <w:rPr>
          <w:rFonts w:asciiTheme="minorHAnsi" w:eastAsiaTheme="minorHAnsi" w:hAnsiTheme="minorHAnsi" w:cstheme="minorHAnsi"/>
          <w:lang w:eastAsia="en-US"/>
        </w:rPr>
        <w:t xml:space="preserve">obszarze </w:t>
      </w:r>
      <w:r w:rsidRPr="00FE708B">
        <w:rPr>
          <w:rFonts w:asciiTheme="minorHAnsi" w:eastAsiaTheme="minorHAnsi" w:hAnsiTheme="minorHAnsi" w:cstheme="minorHAnsi"/>
          <w:lang w:eastAsia="en-US"/>
        </w:rPr>
        <w:t xml:space="preserve">przedmiotowym. Będą to m.in. </w:t>
      </w:r>
      <w:r w:rsidR="00165867" w:rsidRPr="00FE708B">
        <w:rPr>
          <w:rFonts w:asciiTheme="minorHAnsi" w:eastAsiaTheme="minorHAnsi" w:hAnsiTheme="minorHAnsi" w:cstheme="minorHAnsi"/>
          <w:lang w:eastAsia="en-US"/>
        </w:rPr>
        <w:t xml:space="preserve">materiały dotyczące zasad funkcjonowania Bazy, </w:t>
      </w:r>
      <w:r w:rsidR="0036036B" w:rsidRPr="00FE708B">
        <w:rPr>
          <w:rFonts w:asciiTheme="minorHAnsi" w:eastAsiaTheme="minorHAnsi" w:hAnsiTheme="minorHAnsi" w:cstheme="minorHAnsi"/>
          <w:lang w:eastAsia="en-US"/>
        </w:rPr>
        <w:t xml:space="preserve">poszczególnych 14 </w:t>
      </w:r>
      <w:r w:rsidR="00165867" w:rsidRPr="00FE708B">
        <w:rPr>
          <w:rFonts w:asciiTheme="minorHAnsi" w:eastAsiaTheme="minorHAnsi" w:hAnsiTheme="minorHAnsi" w:cstheme="minorHAnsi"/>
          <w:lang w:eastAsia="en-US"/>
        </w:rPr>
        <w:t>PSF, ale również dokumentacja wyższego rzędu, tj. odnosząca się do całości założeń dotyczących systemu popytowego</w:t>
      </w:r>
      <w:r w:rsidR="0036036B" w:rsidRPr="00FE708B">
        <w:rPr>
          <w:rFonts w:asciiTheme="minorHAnsi" w:eastAsiaTheme="minorHAnsi" w:hAnsiTheme="minorHAnsi" w:cstheme="minorHAnsi"/>
          <w:lang w:eastAsia="en-US"/>
        </w:rPr>
        <w:t xml:space="preserve"> w r</w:t>
      </w:r>
      <w:r w:rsidR="007A7D2E" w:rsidRPr="00FE708B">
        <w:rPr>
          <w:rFonts w:asciiTheme="minorHAnsi" w:eastAsiaTheme="minorHAnsi" w:hAnsiTheme="minorHAnsi" w:cstheme="minorHAnsi"/>
          <w:lang w:eastAsia="en-US"/>
        </w:rPr>
        <w:t>amach POWER i Umowy Partnerstwa</w:t>
      </w:r>
      <w:r w:rsidR="0036036B" w:rsidRPr="00FE708B">
        <w:rPr>
          <w:rFonts w:asciiTheme="minorHAnsi" w:eastAsiaTheme="minorHAnsi" w:hAnsiTheme="minorHAnsi" w:cstheme="minorHAnsi"/>
          <w:lang w:eastAsia="en-US"/>
        </w:rPr>
        <w:t xml:space="preserve"> na lata 2014-2020.</w:t>
      </w:r>
      <w:r w:rsidR="00165867" w:rsidRPr="00FE708B">
        <w:rPr>
          <w:rFonts w:asciiTheme="minorHAnsi" w:eastAsiaTheme="minorHAnsi" w:hAnsiTheme="minorHAnsi" w:cstheme="minorHAnsi"/>
          <w:lang w:eastAsia="en-US"/>
        </w:rPr>
        <w:t xml:space="preserve"> </w:t>
      </w:r>
    </w:p>
    <w:p w14:paraId="5B9E4B4A" w14:textId="77777777" w:rsidR="007A7D2E" w:rsidRPr="00FE708B" w:rsidRDefault="007A7D2E"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Poniżej została przedstawiona minimalna lista dokumentów, które należy wykorzystać w badaniu. </w:t>
      </w:r>
      <w:r w:rsidR="005F5E0C" w:rsidRPr="00FE708B">
        <w:rPr>
          <w:rFonts w:asciiTheme="minorHAnsi" w:eastAsiaTheme="minorHAnsi" w:hAnsiTheme="minorHAnsi" w:cstheme="minorHAnsi"/>
          <w:lang w:eastAsia="en-US"/>
        </w:rPr>
        <w:t>Należy zaznaczyć, że lista nie jest wyczerpująca i Wykonawca powinien ją uzupełnić w trakcie realizacji badania, np. o opracowania przygotowane na potrzeby poszczególnych regionów, w których funkcjonuje PSF</w:t>
      </w:r>
      <w:r w:rsidR="00163E4D" w:rsidRPr="00FE708B">
        <w:rPr>
          <w:rFonts w:asciiTheme="minorHAnsi" w:eastAsiaTheme="minorHAnsi" w:hAnsiTheme="minorHAnsi" w:cstheme="minorHAnsi"/>
          <w:lang w:eastAsia="en-US"/>
        </w:rPr>
        <w:t xml:space="preserve"> (np. badania ewaluacyjne)</w:t>
      </w:r>
      <w:r w:rsidR="005F5E0C" w:rsidRPr="00FE708B">
        <w:rPr>
          <w:rFonts w:asciiTheme="minorHAnsi" w:eastAsiaTheme="minorHAnsi" w:hAnsiTheme="minorHAnsi" w:cstheme="minorHAnsi"/>
          <w:lang w:eastAsia="en-US"/>
        </w:rPr>
        <w:t xml:space="preserve">. </w:t>
      </w:r>
    </w:p>
    <w:p w14:paraId="62BB42C0" w14:textId="77777777" w:rsidR="00593357" w:rsidRPr="00FE708B" w:rsidRDefault="00593357" w:rsidP="00593357">
      <w:pPr>
        <w:numPr>
          <w:ilvl w:val="0"/>
          <w:numId w:val="5"/>
        </w:numPr>
        <w:spacing w:before="120" w:after="120" w:line="360" w:lineRule="auto"/>
        <w:jc w:val="both"/>
        <w:rPr>
          <w:rFonts w:eastAsia="Times New Roman" w:cstheme="minorHAnsi"/>
          <w:i/>
          <w:sz w:val="24"/>
          <w:szCs w:val="24"/>
          <w:lang w:eastAsia="pl-PL"/>
        </w:rPr>
      </w:pPr>
      <w:r w:rsidRPr="00FE708B">
        <w:rPr>
          <w:rFonts w:eastAsia="Times New Roman" w:cstheme="minorHAnsi"/>
          <w:sz w:val="24"/>
          <w:szCs w:val="24"/>
          <w:lang w:eastAsia="pl-PL"/>
        </w:rPr>
        <w:t>Umowa Partnerstwa na lata 2014-2020</w:t>
      </w:r>
      <w:r w:rsidRPr="00FE708B">
        <w:rPr>
          <w:rFonts w:eastAsia="Times New Roman" w:cstheme="minorHAnsi"/>
          <w:i/>
          <w:sz w:val="24"/>
          <w:szCs w:val="24"/>
          <w:lang w:eastAsia="pl-PL"/>
        </w:rPr>
        <w:t xml:space="preserve"> </w:t>
      </w:r>
    </w:p>
    <w:p w14:paraId="44FCBD08" w14:textId="77777777" w:rsidR="00593357" w:rsidRPr="00FE708B" w:rsidRDefault="00A15C50" w:rsidP="00593357">
      <w:pPr>
        <w:spacing w:before="120" w:after="120" w:line="360" w:lineRule="auto"/>
        <w:ind w:left="644"/>
        <w:rPr>
          <w:rStyle w:val="Hipercze"/>
          <w:rFonts w:cstheme="minorHAnsi"/>
          <w:sz w:val="24"/>
          <w:szCs w:val="24"/>
        </w:rPr>
      </w:pPr>
      <w:hyperlink r:id="rId26" w:history="1">
        <w:r w:rsidR="00593357" w:rsidRPr="00FE708B">
          <w:rPr>
            <w:rStyle w:val="Hipercze"/>
            <w:rFonts w:cstheme="minorHAnsi"/>
            <w:sz w:val="24"/>
            <w:szCs w:val="24"/>
          </w:rPr>
          <w:t>https://www.funduszeeuropejskie.gov.pl/strony/o-funduszach/dokumenty/umowa-partnerstwa</w:t>
        </w:r>
      </w:hyperlink>
    </w:p>
    <w:p w14:paraId="2EECAA5C" w14:textId="77777777" w:rsidR="00593357" w:rsidRPr="00FE708B" w:rsidRDefault="00593357" w:rsidP="00593357">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t xml:space="preserve">Program Wiedza Edukacja Rozwój 2014-2020 </w:t>
      </w:r>
    </w:p>
    <w:p w14:paraId="485045B7" w14:textId="77777777" w:rsidR="00593357" w:rsidRPr="00FE708B" w:rsidRDefault="00A15C50" w:rsidP="00593357">
      <w:pPr>
        <w:spacing w:before="120" w:after="120" w:line="360" w:lineRule="auto"/>
        <w:ind w:left="644"/>
        <w:rPr>
          <w:rStyle w:val="Hipercze"/>
        </w:rPr>
      </w:pPr>
      <w:hyperlink r:id="rId27" w:history="1">
        <w:r w:rsidR="00593357" w:rsidRPr="00FE708B">
          <w:rPr>
            <w:rStyle w:val="Hipercze"/>
            <w:rFonts w:cstheme="minorHAnsi"/>
            <w:sz w:val="24"/>
            <w:szCs w:val="24"/>
          </w:rPr>
          <w:t>https://www.power.gov.pl/strony/o-programie/dokumenty/program-wiedza-edukacja-rozwoj-2014-2020/</w:t>
        </w:r>
      </w:hyperlink>
    </w:p>
    <w:p w14:paraId="4A8F6375" w14:textId="77777777" w:rsidR="007A7D2E" w:rsidRPr="00FE708B" w:rsidRDefault="007A7D2E" w:rsidP="009B4369">
      <w:pPr>
        <w:numPr>
          <w:ilvl w:val="0"/>
          <w:numId w:val="5"/>
        </w:numPr>
        <w:spacing w:before="120" w:after="120" w:line="360" w:lineRule="auto"/>
        <w:jc w:val="both"/>
        <w:rPr>
          <w:rFonts w:eastAsia="Times New Roman" w:cstheme="minorHAnsi"/>
          <w:i/>
          <w:sz w:val="24"/>
          <w:szCs w:val="24"/>
          <w:lang w:eastAsia="pl-PL"/>
        </w:rPr>
      </w:pPr>
      <w:r w:rsidRPr="00FE708B">
        <w:rPr>
          <w:rFonts w:eastAsia="Times New Roman" w:cstheme="minorHAnsi"/>
          <w:i/>
          <w:sz w:val="24"/>
          <w:szCs w:val="24"/>
          <w:lang w:eastAsia="pl-PL"/>
        </w:rPr>
        <w:t xml:space="preserve">Rozporządzenie </w:t>
      </w:r>
      <w:r w:rsidR="000902D1" w:rsidRPr="00FE708B">
        <w:rPr>
          <w:rFonts w:eastAsia="Times New Roman" w:cstheme="minorHAnsi"/>
          <w:i/>
          <w:sz w:val="24"/>
          <w:szCs w:val="24"/>
          <w:lang w:eastAsia="pl-PL"/>
        </w:rPr>
        <w:t xml:space="preserve">Ministra Rozwoju </w:t>
      </w:r>
      <w:r w:rsidRPr="00FE708B">
        <w:rPr>
          <w:rFonts w:eastAsia="Times New Roman" w:cstheme="minorHAnsi"/>
          <w:i/>
          <w:sz w:val="24"/>
          <w:szCs w:val="24"/>
          <w:lang w:eastAsia="pl-PL"/>
        </w:rPr>
        <w:t xml:space="preserve">z dnia </w:t>
      </w:r>
      <w:r w:rsidR="0093125E" w:rsidRPr="00FE708B">
        <w:rPr>
          <w:rFonts w:eastAsia="Times New Roman" w:cstheme="minorHAnsi"/>
          <w:i/>
          <w:sz w:val="24"/>
          <w:szCs w:val="24"/>
          <w:lang w:eastAsia="pl-PL"/>
        </w:rPr>
        <w:t>29 sierpnia 2017 r. w sprawie rejestru podmiotów świadczących usługi rozwojowe Dz.U.2017 poz.1678</w:t>
      </w:r>
      <w:r w:rsidR="000902D1" w:rsidRPr="00FE708B">
        <w:rPr>
          <w:rFonts w:eastAsia="Times New Roman" w:cstheme="minorHAnsi"/>
          <w:i/>
          <w:sz w:val="24"/>
          <w:szCs w:val="24"/>
          <w:lang w:eastAsia="pl-PL"/>
        </w:rPr>
        <w:t>;</w:t>
      </w:r>
    </w:p>
    <w:p w14:paraId="79E76182" w14:textId="77777777" w:rsidR="007A7D2E" w:rsidRPr="00FE708B" w:rsidRDefault="007A7D2E" w:rsidP="009B4369">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t>Regulamin Bazy Usług Rozwojowych wraz z Załącznikami;</w:t>
      </w:r>
    </w:p>
    <w:p w14:paraId="3C94A88B" w14:textId="77777777" w:rsidR="007A7D2E" w:rsidRPr="00FE708B" w:rsidRDefault="007A7D2E" w:rsidP="009B4369">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lastRenderedPageBreak/>
        <w:t xml:space="preserve">Baza Usług Rozwojowych w nowym systemie wsparcia dla przedsiębiorców </w:t>
      </w:r>
      <w:r w:rsidRPr="00FE708B">
        <w:rPr>
          <w:rFonts w:eastAsia="Times New Roman" w:cstheme="minorHAnsi"/>
          <w:sz w:val="24"/>
          <w:szCs w:val="24"/>
          <w:lang w:eastAsia="pl-PL"/>
        </w:rPr>
        <w:br/>
        <w:t>i pracowników</w:t>
      </w:r>
      <w:r w:rsidRPr="00FE708B">
        <w:rPr>
          <w:rStyle w:val="Odwoanieprzypisudolnego"/>
          <w:rFonts w:eastAsia="Times New Roman" w:cstheme="minorHAnsi"/>
          <w:sz w:val="24"/>
          <w:szCs w:val="24"/>
          <w:lang w:eastAsia="pl-PL"/>
        </w:rPr>
        <w:footnoteReference w:id="16"/>
      </w:r>
      <w:r w:rsidRPr="00FE708B">
        <w:rPr>
          <w:rFonts w:eastAsia="Times New Roman" w:cstheme="minorHAnsi"/>
          <w:sz w:val="24"/>
          <w:szCs w:val="24"/>
          <w:lang w:eastAsia="pl-PL"/>
        </w:rPr>
        <w:t>;</w:t>
      </w:r>
    </w:p>
    <w:p w14:paraId="2E12C120" w14:textId="77777777" w:rsidR="007A7D2E" w:rsidRPr="00FE708B" w:rsidRDefault="007A7D2E" w:rsidP="00163E4D">
      <w:pPr>
        <w:numPr>
          <w:ilvl w:val="0"/>
          <w:numId w:val="5"/>
        </w:numPr>
        <w:spacing w:before="120" w:after="120" w:line="360" w:lineRule="auto"/>
        <w:rPr>
          <w:rFonts w:eastAsia="Times New Roman" w:cstheme="minorHAnsi"/>
          <w:bCs/>
          <w:sz w:val="24"/>
          <w:szCs w:val="24"/>
          <w:lang w:eastAsia="pl-PL"/>
        </w:rPr>
      </w:pPr>
      <w:r w:rsidRPr="00FE708B">
        <w:rPr>
          <w:rFonts w:eastAsia="Times New Roman" w:cstheme="minorHAnsi"/>
          <w:bCs/>
          <w:sz w:val="24"/>
          <w:szCs w:val="24"/>
          <w:lang w:eastAsia="pl-PL"/>
        </w:rPr>
        <w:t xml:space="preserve">Wytyczne w zakresie realizacji przedsięwzięć z udziałem środków Europejskiego Funduszu Społecznego w obszarze przystosowania przedsiębiorców i pracowników do zmian na lata 2014-2020; </w:t>
      </w:r>
    </w:p>
    <w:p w14:paraId="2087C04B" w14:textId="77777777" w:rsidR="00593357" w:rsidRPr="00FE708B" w:rsidRDefault="00A15C50" w:rsidP="00593357">
      <w:pPr>
        <w:spacing w:before="120" w:after="120" w:line="360" w:lineRule="auto"/>
        <w:ind w:left="644"/>
        <w:rPr>
          <w:rStyle w:val="Hipercze"/>
        </w:rPr>
      </w:pPr>
      <w:hyperlink r:id="rId28" w:history="1">
        <w:r w:rsidR="00593357" w:rsidRPr="00FE708B">
          <w:rPr>
            <w:rStyle w:val="Hipercze"/>
            <w:rFonts w:cstheme="minorHAnsi"/>
            <w:sz w:val="24"/>
            <w:szCs w:val="24"/>
          </w:rPr>
          <w:t>https://www.funduszeeuropejskie.gov.pl/strony/o-funduszach/dokumenty/wytyczne-w-zakresie-realizacji-przedsiewziec-z-udzialem-srodkow-europejskiego-funduszu-spolecznego-w-obszarze-przystosowania-przedsiebiorcow-i-pracownikow-do-zmian-na-lata-2014-2020/</w:t>
        </w:r>
      </w:hyperlink>
    </w:p>
    <w:p w14:paraId="12E8C4A8" w14:textId="77777777" w:rsidR="00463225" w:rsidRPr="00FE708B" w:rsidRDefault="007A7D2E" w:rsidP="00163E4D">
      <w:pPr>
        <w:numPr>
          <w:ilvl w:val="0"/>
          <w:numId w:val="5"/>
        </w:numPr>
        <w:spacing w:before="120" w:after="120" w:line="360" w:lineRule="auto"/>
        <w:rPr>
          <w:rFonts w:eastAsia="Times New Roman" w:cstheme="minorHAnsi"/>
          <w:sz w:val="24"/>
          <w:szCs w:val="24"/>
          <w:lang w:eastAsia="pl-PL"/>
        </w:rPr>
      </w:pPr>
      <w:r w:rsidRPr="00FE708B">
        <w:rPr>
          <w:rFonts w:eastAsia="Times New Roman" w:cstheme="minorHAnsi"/>
          <w:sz w:val="24"/>
          <w:szCs w:val="24"/>
          <w:lang w:eastAsia="pl-PL"/>
        </w:rPr>
        <w:t xml:space="preserve">Raport z Ewaluacji podażowego i popytowego systemu kształcenia umiejętności pracowników MŚP – na przykładzie województwa małopolskiego. </w:t>
      </w:r>
    </w:p>
    <w:p w14:paraId="06CD187B" w14:textId="77777777" w:rsidR="007A7D2E" w:rsidRPr="00FE708B" w:rsidRDefault="00A15C50" w:rsidP="00463225">
      <w:pPr>
        <w:spacing w:before="120" w:after="120" w:line="360" w:lineRule="auto"/>
        <w:ind w:left="644"/>
        <w:rPr>
          <w:rFonts w:eastAsia="Times New Roman" w:cstheme="minorHAnsi"/>
          <w:sz w:val="24"/>
          <w:szCs w:val="24"/>
          <w:lang w:eastAsia="pl-PL"/>
        </w:rPr>
      </w:pPr>
      <w:hyperlink r:id="rId29" w:history="1">
        <w:r w:rsidR="007A7D2E" w:rsidRPr="00FE708B">
          <w:rPr>
            <w:rStyle w:val="Hipercze"/>
            <w:rFonts w:cstheme="minorHAnsi"/>
            <w:sz w:val="24"/>
            <w:szCs w:val="24"/>
          </w:rPr>
          <w:t>https://www.power.gov.pl/media/8273/Ewaluacja_podazowego_i_popytowego_systemu_ksztalcenia_pracownikow_MSP.pdf</w:t>
        </w:r>
      </w:hyperlink>
    </w:p>
    <w:p w14:paraId="0530EA0C" w14:textId="77777777" w:rsidR="007A7D2E" w:rsidRPr="00FE708B" w:rsidRDefault="007A7D2E" w:rsidP="00163E4D">
      <w:pPr>
        <w:numPr>
          <w:ilvl w:val="0"/>
          <w:numId w:val="5"/>
        </w:numPr>
        <w:spacing w:before="120" w:after="120" w:line="360" w:lineRule="auto"/>
        <w:rPr>
          <w:rFonts w:eastAsia="Times New Roman" w:cstheme="minorHAnsi"/>
          <w:sz w:val="24"/>
          <w:szCs w:val="24"/>
          <w:lang w:eastAsia="pl-PL"/>
        </w:rPr>
      </w:pPr>
      <w:r w:rsidRPr="00FE708B">
        <w:rPr>
          <w:rFonts w:eastAsia="Times New Roman" w:cstheme="minorHAnsi"/>
          <w:sz w:val="24"/>
          <w:szCs w:val="24"/>
          <w:lang w:eastAsia="pl-PL"/>
        </w:rPr>
        <w:t xml:space="preserve">Ocena skuteczności i trafności przyjętego modelu finansowania usług rozwojowych w województwie śląskim </w:t>
      </w:r>
      <w:hyperlink r:id="rId30" w:history="1">
        <w:r w:rsidRPr="00FE708B">
          <w:rPr>
            <w:rStyle w:val="Hipercze"/>
            <w:rFonts w:cstheme="minorHAnsi"/>
            <w:sz w:val="24"/>
            <w:szCs w:val="24"/>
          </w:rPr>
          <w:t>https://rpo.slaskie.pl/czytaj/oceny_i_analizy</w:t>
        </w:r>
      </w:hyperlink>
    </w:p>
    <w:p w14:paraId="408F8D26" w14:textId="77777777" w:rsidR="007A7D2E" w:rsidRPr="00FE708B" w:rsidRDefault="007A7D2E" w:rsidP="00163E4D">
      <w:pPr>
        <w:numPr>
          <w:ilvl w:val="0"/>
          <w:numId w:val="5"/>
        </w:numPr>
        <w:spacing w:before="120" w:after="120" w:line="360" w:lineRule="auto"/>
        <w:rPr>
          <w:rStyle w:val="Hipercze"/>
          <w:rFonts w:eastAsia="Times New Roman" w:cstheme="minorHAnsi"/>
          <w:color w:val="auto"/>
          <w:sz w:val="24"/>
          <w:szCs w:val="24"/>
          <w:u w:val="none"/>
          <w:lang w:eastAsia="pl-PL"/>
        </w:rPr>
      </w:pPr>
      <w:r w:rsidRPr="00FE708B">
        <w:rPr>
          <w:rFonts w:eastAsia="Times New Roman" w:cstheme="minorHAnsi"/>
          <w:sz w:val="24"/>
          <w:szCs w:val="24"/>
          <w:lang w:eastAsia="pl-PL"/>
        </w:rPr>
        <w:t xml:space="preserve">Wpływ Bazy Usług Rozwojowych na jakość i dostępność usług rozwojowych świadczonych na rzecz przedsiębiorców i pracowników z uwzględnieniem Podmiotowego Systemu Finansowania </w:t>
      </w:r>
      <w:hyperlink r:id="rId31" w:history="1">
        <w:r w:rsidRPr="00FE708B">
          <w:rPr>
            <w:rStyle w:val="Hipercze"/>
            <w:rFonts w:cstheme="minorHAnsi"/>
            <w:sz w:val="24"/>
            <w:szCs w:val="24"/>
          </w:rPr>
          <w:t>https://www.ewaluacja.gov.pl/media/54022/RK_BUR_PARP.pdf</w:t>
        </w:r>
      </w:hyperlink>
    </w:p>
    <w:p w14:paraId="5E26CCE2" w14:textId="77777777" w:rsidR="00A438CE" w:rsidRPr="00FE708B" w:rsidRDefault="00A438CE" w:rsidP="00A438CE">
      <w:pPr>
        <w:numPr>
          <w:ilvl w:val="0"/>
          <w:numId w:val="5"/>
        </w:numPr>
        <w:spacing w:before="120" w:after="120" w:line="360" w:lineRule="auto"/>
        <w:rPr>
          <w:rStyle w:val="Hipercze"/>
          <w:rFonts w:eastAsia="Times New Roman" w:cstheme="minorHAnsi"/>
          <w:color w:val="auto"/>
          <w:sz w:val="24"/>
          <w:szCs w:val="24"/>
          <w:u w:val="none"/>
          <w:lang w:eastAsia="pl-PL"/>
        </w:rPr>
      </w:pPr>
      <w:r w:rsidRPr="00FE708B">
        <w:rPr>
          <w:rStyle w:val="Hipercze"/>
          <w:rFonts w:eastAsia="Times New Roman" w:cstheme="minorHAnsi"/>
          <w:color w:val="auto"/>
          <w:sz w:val="24"/>
          <w:szCs w:val="24"/>
          <w:u w:val="none"/>
          <w:lang w:eastAsia="pl-PL"/>
        </w:rPr>
        <w:t xml:space="preserve">Efektywność świadczenia usług proinnowacyjnych w „modelu popytowym” </w:t>
      </w:r>
      <w:hyperlink r:id="rId32" w:history="1">
        <w:r w:rsidRPr="00FE708B">
          <w:rPr>
            <w:rStyle w:val="Hipercze"/>
            <w:rFonts w:cstheme="minorHAnsi"/>
            <w:sz w:val="24"/>
            <w:szCs w:val="24"/>
          </w:rPr>
          <w:t>https://www.parp.gov.pl/component/publications/publication/efektywnosc-swiadczenia-uslug-proinnowacyjnych-w-modelu-popytowym</w:t>
        </w:r>
      </w:hyperlink>
    </w:p>
    <w:p w14:paraId="118EF164" w14:textId="77777777" w:rsidR="00B21C33" w:rsidRPr="00FE708B" w:rsidRDefault="00B21C33" w:rsidP="00A438CE">
      <w:pPr>
        <w:numPr>
          <w:ilvl w:val="0"/>
          <w:numId w:val="5"/>
        </w:numPr>
        <w:spacing w:before="120" w:after="120" w:line="360" w:lineRule="auto"/>
        <w:rPr>
          <w:rStyle w:val="Hipercze"/>
          <w:rFonts w:cstheme="minorHAnsi"/>
          <w:sz w:val="24"/>
          <w:szCs w:val="24"/>
        </w:rPr>
      </w:pPr>
      <w:r w:rsidRPr="00FE708B">
        <w:rPr>
          <w:rStyle w:val="Hipercze"/>
          <w:rFonts w:eastAsia="Times New Roman" w:cstheme="minorHAnsi"/>
          <w:color w:val="auto"/>
          <w:sz w:val="24"/>
          <w:szCs w:val="24"/>
          <w:u w:val="none"/>
          <w:lang w:eastAsia="pl-PL"/>
        </w:rPr>
        <w:t xml:space="preserve">Metaanaliza wyników badań ewaluacyjnych dotyczących oceny wsparcia z EFS </w:t>
      </w:r>
      <w:hyperlink r:id="rId33" w:history="1">
        <w:r w:rsidRPr="00FE708B">
          <w:rPr>
            <w:rStyle w:val="Hipercze"/>
            <w:rFonts w:cstheme="minorHAnsi"/>
            <w:sz w:val="24"/>
            <w:szCs w:val="24"/>
          </w:rPr>
          <w:t>https://www.power.gov.pl/media/45639/Raport_koncowy_zlozony_graficznie.pdf</w:t>
        </w:r>
      </w:hyperlink>
    </w:p>
    <w:p w14:paraId="33CF4366" w14:textId="77777777" w:rsidR="00CB5EF2" w:rsidRPr="00FE708B" w:rsidRDefault="00CB5EF2" w:rsidP="00163E4D">
      <w:pPr>
        <w:numPr>
          <w:ilvl w:val="0"/>
          <w:numId w:val="5"/>
        </w:numPr>
        <w:spacing w:before="120" w:after="120" w:line="360" w:lineRule="auto"/>
        <w:rPr>
          <w:rFonts w:eastAsia="Times New Roman" w:cstheme="minorHAnsi"/>
          <w:sz w:val="24"/>
          <w:szCs w:val="24"/>
          <w:lang w:eastAsia="pl-PL"/>
        </w:rPr>
      </w:pPr>
      <w:r w:rsidRPr="00FE708B">
        <w:rPr>
          <w:rFonts w:eastAsia="Times New Roman" w:cstheme="minorHAnsi"/>
          <w:sz w:val="24"/>
          <w:szCs w:val="24"/>
          <w:lang w:eastAsia="pl-PL"/>
        </w:rPr>
        <w:lastRenderedPageBreak/>
        <w:t xml:space="preserve">Barometr zawodów , który zawiera informacje na temat zapotrzebowania na konkretne zawody i kwalifikacje </w:t>
      </w:r>
      <w:hyperlink r:id="rId34" w:history="1">
        <w:r w:rsidR="002C6483" w:rsidRPr="00FE708B">
          <w:rPr>
            <w:rStyle w:val="Hipercze"/>
            <w:rFonts w:cstheme="minorHAnsi"/>
            <w:sz w:val="24"/>
            <w:szCs w:val="24"/>
          </w:rPr>
          <w:t>https://barometrzawodow.pl/userfiles/Barometr/2019/raport_ogolnopolski_pl.pdf</w:t>
        </w:r>
      </w:hyperlink>
      <w:r w:rsidR="002C6483" w:rsidRPr="00FE708B">
        <w:rPr>
          <w:rFonts w:eastAsia="Times New Roman" w:cstheme="minorHAnsi"/>
          <w:sz w:val="24"/>
          <w:szCs w:val="24"/>
          <w:lang w:eastAsia="pl-PL"/>
        </w:rPr>
        <w:t xml:space="preserve"> </w:t>
      </w:r>
    </w:p>
    <w:p w14:paraId="31597121" w14:textId="77777777" w:rsidR="009328E3" w:rsidRPr="00FE708B" w:rsidRDefault="00951ACA" w:rsidP="00951ACA">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t>Dokumentację konkursową, w tym r</w:t>
      </w:r>
      <w:r w:rsidR="007A7D2E" w:rsidRPr="00FE708B">
        <w:rPr>
          <w:rFonts w:eastAsia="Times New Roman" w:cstheme="minorHAnsi"/>
          <w:sz w:val="24"/>
          <w:szCs w:val="24"/>
          <w:lang w:eastAsia="pl-PL"/>
        </w:rPr>
        <w:t>egulaminy konkursów, w ramach których dokonano wyboru operatorów</w:t>
      </w:r>
      <w:r w:rsidR="005F5E0C" w:rsidRPr="00FE708B">
        <w:rPr>
          <w:rFonts w:eastAsia="Times New Roman" w:cstheme="minorHAnsi"/>
          <w:sz w:val="24"/>
          <w:szCs w:val="24"/>
          <w:lang w:eastAsia="pl-PL"/>
        </w:rPr>
        <w:t xml:space="preserve"> w poszczególnych województwach. </w:t>
      </w:r>
    </w:p>
    <w:p w14:paraId="4F55C6FE" w14:textId="77777777" w:rsidR="0029393F" w:rsidRPr="00FE708B" w:rsidRDefault="0029393F" w:rsidP="00951ACA">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t>Dane finansowe projektów przyjętych do dofinansowania w ramach PSF.</w:t>
      </w:r>
    </w:p>
    <w:p w14:paraId="28BFED78" w14:textId="77777777" w:rsidR="00E679D5" w:rsidRPr="00FE708B" w:rsidRDefault="00E679D5" w:rsidP="00951ACA">
      <w:pPr>
        <w:numPr>
          <w:ilvl w:val="0"/>
          <w:numId w:val="5"/>
        </w:numPr>
        <w:spacing w:before="120" w:after="120" w:line="360" w:lineRule="auto"/>
        <w:jc w:val="both"/>
        <w:rPr>
          <w:rFonts w:eastAsia="Times New Roman" w:cstheme="minorHAnsi"/>
          <w:sz w:val="24"/>
          <w:szCs w:val="24"/>
          <w:lang w:eastAsia="pl-PL"/>
        </w:rPr>
      </w:pPr>
      <w:r w:rsidRPr="00FE708B">
        <w:rPr>
          <w:rFonts w:eastAsia="Times New Roman" w:cstheme="minorHAnsi"/>
          <w:sz w:val="24"/>
          <w:szCs w:val="24"/>
          <w:lang w:eastAsia="pl-PL"/>
        </w:rPr>
        <w:t>Procedury uzyskania i rozliczenia dofinansowania przyjęte przez poszczególnych operatorów</w:t>
      </w:r>
      <w:r w:rsidR="00EB0F97" w:rsidRPr="00FE708B">
        <w:rPr>
          <w:rFonts w:eastAsia="Times New Roman" w:cstheme="minorHAnsi"/>
          <w:sz w:val="24"/>
          <w:szCs w:val="24"/>
          <w:lang w:eastAsia="pl-PL"/>
        </w:rPr>
        <w:t>.</w:t>
      </w:r>
    </w:p>
    <w:p w14:paraId="6605DD59" w14:textId="7A3C63F9" w:rsidR="00847ED0" w:rsidRPr="00FE708B" w:rsidRDefault="00B6312A" w:rsidP="00847ED0">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Ponadto analiza danych zastanych obejmie dane pochodzące z Bazy Usług Rozwojowych</w:t>
      </w:r>
      <w:r w:rsidR="00847ED0" w:rsidRPr="00FE708B">
        <w:rPr>
          <w:rFonts w:asciiTheme="minorHAnsi" w:eastAsiaTheme="minorHAnsi" w:hAnsiTheme="minorHAnsi" w:cstheme="minorHAnsi"/>
          <w:lang w:eastAsia="en-US"/>
        </w:rPr>
        <w:t xml:space="preserve">, </w:t>
      </w:r>
      <w:r w:rsidR="007A5039">
        <w:rPr>
          <w:rFonts w:asciiTheme="minorHAnsi" w:eastAsiaTheme="minorHAnsi" w:hAnsiTheme="minorHAnsi" w:cstheme="minorHAnsi"/>
          <w:lang w:eastAsia="en-US"/>
        </w:rPr>
        <w:br/>
      </w:r>
      <w:r w:rsidR="00847ED0" w:rsidRPr="00FE708B">
        <w:rPr>
          <w:rFonts w:asciiTheme="minorHAnsi" w:eastAsiaTheme="minorHAnsi" w:hAnsiTheme="minorHAnsi" w:cstheme="minorHAnsi"/>
          <w:lang w:eastAsia="en-US"/>
        </w:rPr>
        <w:t>w tym</w:t>
      </w:r>
      <w:r w:rsidR="00B21C33" w:rsidRPr="00FE708B">
        <w:rPr>
          <w:rFonts w:asciiTheme="minorHAnsi" w:eastAsiaTheme="minorHAnsi" w:hAnsiTheme="minorHAnsi" w:cstheme="minorHAnsi"/>
          <w:lang w:eastAsia="en-US"/>
        </w:rPr>
        <w:t>:</w:t>
      </w:r>
      <w:r w:rsidR="00847ED0" w:rsidRPr="00FE708B">
        <w:rPr>
          <w:rFonts w:asciiTheme="minorHAnsi" w:eastAsiaTheme="minorHAnsi" w:hAnsiTheme="minorHAnsi" w:cstheme="minorHAnsi"/>
          <w:lang w:eastAsia="en-US"/>
        </w:rPr>
        <w:t xml:space="preserve"> a) dane podmiotów oferujących usługi rozwojowe, b) dane firm, które skorzystały </w:t>
      </w:r>
      <w:r w:rsidR="007A5039">
        <w:rPr>
          <w:rFonts w:asciiTheme="minorHAnsi" w:eastAsiaTheme="minorHAnsi" w:hAnsiTheme="minorHAnsi" w:cstheme="minorHAnsi"/>
          <w:lang w:eastAsia="en-US"/>
        </w:rPr>
        <w:br/>
      </w:r>
      <w:r w:rsidR="00847ED0" w:rsidRPr="00FE708B">
        <w:rPr>
          <w:rFonts w:asciiTheme="minorHAnsi" w:eastAsiaTheme="minorHAnsi" w:hAnsiTheme="minorHAnsi" w:cstheme="minorHAnsi"/>
          <w:lang w:eastAsia="en-US"/>
        </w:rPr>
        <w:t>z usług rozwojowych w ramach PSF, c) dane pracowników, którzy skorzystali z usług rozwojowych w ramach PSF oraz osób, które skorzystały z PSF z własnej inicjatywy, d) dane na temat usług rozwojowych znajdujących się w bazie</w:t>
      </w:r>
      <w:r w:rsidR="00B21C33" w:rsidRPr="00FE708B">
        <w:rPr>
          <w:rFonts w:asciiTheme="minorHAnsi" w:eastAsiaTheme="minorHAnsi" w:hAnsiTheme="minorHAnsi" w:cstheme="minorHAnsi"/>
          <w:lang w:eastAsia="en-US"/>
        </w:rPr>
        <w:t xml:space="preserve">, e) dane z ankiet ewaluacyjnych wypełnianych po skorzystaniu z usługi. </w:t>
      </w:r>
      <w:r w:rsidR="00847ED0" w:rsidRPr="00FE708B">
        <w:rPr>
          <w:rFonts w:asciiTheme="minorHAnsi" w:eastAsiaTheme="minorHAnsi" w:hAnsiTheme="minorHAnsi" w:cstheme="minorHAnsi"/>
          <w:lang w:eastAsia="en-US"/>
        </w:rPr>
        <w:t xml:space="preserve"> </w:t>
      </w:r>
    </w:p>
    <w:p w14:paraId="0A09877C" w14:textId="77777777" w:rsidR="00B21C33" w:rsidRPr="00FE708B" w:rsidRDefault="00B6312A" w:rsidP="00E97F99">
      <w:pPr>
        <w:pStyle w:val="NormalnyWeb"/>
        <w:shd w:val="clear" w:color="auto" w:fill="FFFFFF"/>
        <w:spacing w:before="120" w:after="120" w:line="360" w:lineRule="auto"/>
        <w:rPr>
          <w:rStyle w:val="Hipercze"/>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Część danych potrzebnych do </w:t>
      </w:r>
      <w:r w:rsidR="00D07086" w:rsidRPr="00FE708B">
        <w:rPr>
          <w:rFonts w:asciiTheme="minorHAnsi" w:eastAsiaTheme="minorHAnsi" w:hAnsiTheme="minorHAnsi" w:cstheme="minorHAnsi"/>
          <w:lang w:eastAsia="en-US"/>
        </w:rPr>
        <w:t>przeprowadzenia analizy danych zastanych zostanie dostarczona Wykonawcy przez Zamawiającego po</w:t>
      </w:r>
      <w:r w:rsidR="00163E4D" w:rsidRPr="00FE708B">
        <w:rPr>
          <w:rFonts w:asciiTheme="minorHAnsi" w:eastAsiaTheme="minorHAnsi" w:hAnsiTheme="minorHAnsi" w:cstheme="minorHAnsi"/>
          <w:lang w:eastAsia="en-US"/>
        </w:rPr>
        <w:t xml:space="preserve"> podpisaniu umowy;</w:t>
      </w:r>
      <w:r w:rsidR="00D07086" w:rsidRPr="00FE708B">
        <w:rPr>
          <w:rFonts w:asciiTheme="minorHAnsi" w:eastAsiaTheme="minorHAnsi" w:hAnsiTheme="minorHAnsi" w:cstheme="minorHAnsi"/>
          <w:lang w:eastAsia="en-US"/>
        </w:rPr>
        <w:t xml:space="preserve"> </w:t>
      </w:r>
      <w:r w:rsidR="00163E4D" w:rsidRPr="00FE708B">
        <w:rPr>
          <w:rFonts w:asciiTheme="minorHAnsi" w:eastAsiaTheme="minorHAnsi" w:hAnsiTheme="minorHAnsi" w:cstheme="minorHAnsi"/>
          <w:lang w:eastAsia="en-US"/>
        </w:rPr>
        <w:t>inne</w:t>
      </w:r>
      <w:r w:rsidR="00D07086" w:rsidRPr="00FE708B">
        <w:rPr>
          <w:rFonts w:asciiTheme="minorHAnsi" w:eastAsiaTheme="minorHAnsi" w:hAnsiTheme="minorHAnsi" w:cstheme="minorHAnsi"/>
          <w:lang w:eastAsia="en-US"/>
        </w:rPr>
        <w:t xml:space="preserve"> dane Wykonawca będzie pozyskiwał w trakcie realizacji badania. Dotyczy to zwłaszcza dokumentacji i opracowań przygotowanych na potrzeby poszczególnych regionów. Zamawiający udzieli Wykonawcy wsparcia w docieraniu d</w:t>
      </w:r>
      <w:r w:rsidR="00B21C33" w:rsidRPr="00FE708B">
        <w:rPr>
          <w:rFonts w:asciiTheme="minorHAnsi" w:eastAsiaTheme="minorHAnsi" w:hAnsiTheme="minorHAnsi" w:cstheme="minorHAnsi"/>
          <w:lang w:eastAsia="en-US"/>
        </w:rPr>
        <w:t xml:space="preserve">o wszystkich niezbędnych danych, przy czym Wykonawca powinien samodzielnie wykorzystać bazę opracowań i analiz </w:t>
      </w:r>
      <w:hyperlink r:id="rId35" w:anchor="/domyslne=1" w:history="1">
        <w:r w:rsidR="00B21C33" w:rsidRPr="00FE708B">
          <w:rPr>
            <w:rStyle w:val="Hipercze"/>
            <w:rFonts w:asciiTheme="minorHAnsi" w:hAnsiTheme="minorHAnsi" w:cstheme="minorHAnsi"/>
            <w:lang w:eastAsia="en-US"/>
          </w:rPr>
          <w:t>https://www.power.gov.pl/strony/o-programie/raporty/opracowania/#/domyslne=1</w:t>
        </w:r>
      </w:hyperlink>
    </w:p>
    <w:p w14:paraId="2A9F65F5" w14:textId="77777777" w:rsidR="0029393F" w:rsidRPr="00FE708B" w:rsidRDefault="0029393F" w:rsidP="00E97F99">
      <w:pPr>
        <w:pStyle w:val="NormalnyWeb"/>
        <w:shd w:val="clear" w:color="auto" w:fill="FFFFFF"/>
        <w:spacing w:before="120" w:after="120" w:line="360" w:lineRule="auto"/>
        <w:rPr>
          <w:rStyle w:val="Hipercze"/>
          <w:rFonts w:asciiTheme="minorHAnsi" w:eastAsiaTheme="minorHAnsi" w:hAnsiTheme="minorHAnsi" w:cstheme="minorHAnsi"/>
        </w:rPr>
      </w:pPr>
      <w:r w:rsidRPr="00FE708B">
        <w:rPr>
          <w:rStyle w:val="Hipercze"/>
          <w:rFonts w:asciiTheme="minorHAnsi" w:hAnsiTheme="minorHAnsi" w:cstheme="minorHAnsi"/>
          <w:lang w:eastAsia="en-US"/>
        </w:rPr>
        <w:t>http://www.ewaluacja.gov.pl/strony/badania-i-analizy/wyniki-badan-ewaluacyjnych/baza-badan-w-arkuszu-kalkulacyjnym/</w:t>
      </w:r>
    </w:p>
    <w:p w14:paraId="40172D8A" w14:textId="77777777" w:rsidR="00E77367" w:rsidRPr="00FE708B" w:rsidRDefault="00E77367"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3B4282">
        <w:rPr>
          <w:rFonts w:asciiTheme="minorHAnsi" w:eastAsiaTheme="minorHAnsi" w:hAnsiTheme="minorHAnsi" w:cstheme="minorHAnsi"/>
          <w:lang w:eastAsia="en-US"/>
        </w:rPr>
        <w:t>Analiza danych zastanych powinna być prowadzona dwuetapowo. Etap pierwszy będzie trwał 14 dni od dnia spotkania otwierającego z Zamawiającym i powinien się kończyć przygotowaniem przez Wykonawcę wstępnej wersji raportu metodologicznego.</w:t>
      </w:r>
      <w:r w:rsidRPr="00FE708B">
        <w:rPr>
          <w:rFonts w:asciiTheme="minorHAnsi" w:eastAsiaTheme="minorHAnsi" w:hAnsiTheme="minorHAnsi" w:cstheme="minorHAnsi"/>
          <w:lang w:eastAsia="en-US"/>
        </w:rPr>
        <w:t xml:space="preserve"> </w:t>
      </w:r>
    </w:p>
    <w:p w14:paraId="79D45225" w14:textId="77777777" w:rsidR="007A5039" w:rsidRDefault="007A5039" w:rsidP="00E97F99">
      <w:pPr>
        <w:pStyle w:val="NormalnyWeb"/>
        <w:shd w:val="clear" w:color="auto" w:fill="FFFFFF"/>
        <w:spacing w:before="120" w:after="120" w:line="360" w:lineRule="auto"/>
        <w:rPr>
          <w:rFonts w:asciiTheme="minorHAnsi" w:eastAsiaTheme="minorHAnsi" w:hAnsiTheme="minorHAnsi" w:cstheme="minorHAnsi"/>
          <w:lang w:eastAsia="en-US"/>
        </w:rPr>
      </w:pPr>
    </w:p>
    <w:p w14:paraId="543AD030" w14:textId="61605E09" w:rsidR="00E77367" w:rsidRPr="00FE708B" w:rsidRDefault="009B090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 przedstawieniu przez Wykonawcę wstępnej wersji raportu metodologicznego i jego akceptacji przez Zamawiającego Wykonawca przystąpi do realizacji badań jakościowych na próbie:</w:t>
      </w:r>
      <w:r w:rsidR="00063EBC" w:rsidRPr="00FE708B">
        <w:rPr>
          <w:rFonts w:asciiTheme="minorHAnsi" w:eastAsiaTheme="minorHAnsi" w:hAnsiTheme="minorHAnsi" w:cstheme="minorHAnsi"/>
          <w:lang w:eastAsia="en-US"/>
        </w:rPr>
        <w:t xml:space="preserve"> a) p</w:t>
      </w:r>
      <w:r w:rsidRPr="00FE708B">
        <w:rPr>
          <w:rFonts w:asciiTheme="minorHAnsi" w:eastAsiaTheme="minorHAnsi" w:hAnsiTheme="minorHAnsi" w:cstheme="minorHAnsi"/>
          <w:lang w:eastAsia="en-US"/>
        </w:rPr>
        <w:t>rzedstawicieli jednostek odpowiedzialnych za BUR oraz PSF,</w:t>
      </w:r>
      <w:r w:rsidR="00063EBC" w:rsidRPr="00FE708B">
        <w:rPr>
          <w:rFonts w:asciiTheme="minorHAnsi" w:eastAsiaTheme="minorHAnsi" w:hAnsiTheme="minorHAnsi" w:cstheme="minorHAnsi"/>
          <w:lang w:eastAsia="en-US"/>
        </w:rPr>
        <w:t xml:space="preserve"> b) p</w:t>
      </w:r>
      <w:r w:rsidR="00E66893" w:rsidRPr="00FE708B">
        <w:rPr>
          <w:rFonts w:asciiTheme="minorHAnsi" w:eastAsiaTheme="minorHAnsi" w:hAnsiTheme="minorHAnsi" w:cstheme="minorHAnsi"/>
          <w:lang w:eastAsia="en-US"/>
        </w:rPr>
        <w:t xml:space="preserve">rzedstawicieli </w:t>
      </w:r>
      <w:r w:rsidR="00163E4D" w:rsidRPr="00FE708B">
        <w:rPr>
          <w:rFonts w:asciiTheme="minorHAnsi" w:eastAsiaTheme="minorHAnsi" w:hAnsiTheme="minorHAnsi" w:cstheme="minorHAnsi"/>
          <w:lang w:eastAsia="en-US"/>
        </w:rPr>
        <w:lastRenderedPageBreak/>
        <w:t>przedsiębiorców (beneficjentów)</w:t>
      </w:r>
      <w:r w:rsidR="00E66893" w:rsidRPr="00FE708B">
        <w:rPr>
          <w:rFonts w:asciiTheme="minorHAnsi" w:eastAsiaTheme="minorHAnsi" w:hAnsiTheme="minorHAnsi" w:cstheme="minorHAnsi"/>
          <w:lang w:eastAsia="en-US"/>
        </w:rPr>
        <w:t>,</w:t>
      </w:r>
      <w:r w:rsidR="00063EBC" w:rsidRPr="00FE708B">
        <w:rPr>
          <w:rFonts w:asciiTheme="minorHAnsi" w:eastAsiaTheme="minorHAnsi" w:hAnsiTheme="minorHAnsi" w:cstheme="minorHAnsi"/>
          <w:lang w:eastAsia="en-US"/>
        </w:rPr>
        <w:t xml:space="preserve"> c) p</w:t>
      </w:r>
      <w:r w:rsidRPr="00FE708B">
        <w:rPr>
          <w:rFonts w:asciiTheme="minorHAnsi" w:eastAsiaTheme="minorHAnsi" w:hAnsiTheme="minorHAnsi" w:cstheme="minorHAnsi"/>
          <w:lang w:eastAsia="en-US"/>
        </w:rPr>
        <w:t>rzedstawicieli Operatorów,</w:t>
      </w:r>
      <w:r w:rsidR="00063EBC" w:rsidRPr="00FE708B">
        <w:rPr>
          <w:rFonts w:asciiTheme="minorHAnsi" w:eastAsiaTheme="minorHAnsi" w:hAnsiTheme="minorHAnsi" w:cstheme="minorHAnsi"/>
          <w:lang w:eastAsia="en-US"/>
        </w:rPr>
        <w:t xml:space="preserve"> d) p</w:t>
      </w:r>
      <w:r w:rsidR="00E66893" w:rsidRPr="00FE708B">
        <w:rPr>
          <w:rFonts w:asciiTheme="minorHAnsi" w:eastAsiaTheme="minorHAnsi" w:hAnsiTheme="minorHAnsi" w:cstheme="minorHAnsi"/>
          <w:lang w:eastAsia="en-US"/>
        </w:rPr>
        <w:t>rzedstawicieli usługodawców</w:t>
      </w:r>
      <w:r w:rsidR="00B21C33" w:rsidRPr="00FE708B">
        <w:rPr>
          <w:rFonts w:asciiTheme="minorHAnsi" w:eastAsiaTheme="minorHAnsi" w:hAnsiTheme="minorHAnsi" w:cstheme="minorHAnsi"/>
          <w:lang w:eastAsia="en-US"/>
        </w:rPr>
        <w:t xml:space="preserve"> i jednocześnie będzie kontynuował prace związane z analizą danych zastanych (np. pogłębienie analiz statystycznych prowadzonych na danych pochodzących </w:t>
      </w:r>
      <w:r w:rsidR="007A5039">
        <w:rPr>
          <w:rFonts w:asciiTheme="minorHAnsi" w:eastAsiaTheme="minorHAnsi" w:hAnsiTheme="minorHAnsi" w:cstheme="minorHAnsi"/>
          <w:lang w:eastAsia="en-US"/>
        </w:rPr>
        <w:br/>
      </w:r>
      <w:r w:rsidR="00B21C33" w:rsidRPr="00FE708B">
        <w:rPr>
          <w:rFonts w:asciiTheme="minorHAnsi" w:eastAsiaTheme="minorHAnsi" w:hAnsiTheme="minorHAnsi" w:cstheme="minorHAnsi"/>
          <w:lang w:eastAsia="en-US"/>
        </w:rPr>
        <w:t xml:space="preserve">z BUR, analiza pozyskanych nowych dokumentów i opracowań dot. EFS w przedmiotowym zakresie badania). </w:t>
      </w:r>
    </w:p>
    <w:p w14:paraId="6F519F18" w14:textId="77777777" w:rsidR="00D07086" w:rsidRPr="00FE708B" w:rsidRDefault="00E77367" w:rsidP="001B56C4">
      <w:pPr>
        <w:pStyle w:val="N3"/>
        <w:rPr>
          <w:rFonts w:asciiTheme="minorHAnsi" w:hAnsiTheme="minorHAnsi" w:cstheme="minorHAnsi"/>
        </w:rPr>
      </w:pPr>
      <w:bookmarkStart w:id="8" w:name="_Toc8896929"/>
      <w:r w:rsidRPr="00FE708B">
        <w:rPr>
          <w:rFonts w:asciiTheme="minorHAnsi" w:hAnsiTheme="minorHAnsi" w:cstheme="minorHAnsi"/>
        </w:rPr>
        <w:t>Badania jakościowe etapu wstępnego</w:t>
      </w:r>
      <w:bookmarkEnd w:id="8"/>
    </w:p>
    <w:p w14:paraId="29515DDF" w14:textId="77777777" w:rsidR="00E77367" w:rsidRPr="00FE708B" w:rsidRDefault="00E77367"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Oczekuje się</w:t>
      </w:r>
      <w:r w:rsidR="00E30EBA" w:rsidRPr="00FE708B">
        <w:rPr>
          <w:rFonts w:asciiTheme="minorHAnsi" w:eastAsiaTheme="minorHAnsi" w:hAnsiTheme="minorHAnsi" w:cstheme="minorHAnsi"/>
          <w:lang w:eastAsia="en-US"/>
        </w:rPr>
        <w:t xml:space="preserve"> od Wykonawcy</w:t>
      </w:r>
      <w:r w:rsidRPr="00FE708B">
        <w:rPr>
          <w:rFonts w:asciiTheme="minorHAnsi" w:eastAsiaTheme="minorHAnsi" w:hAnsiTheme="minorHAnsi" w:cstheme="minorHAnsi"/>
          <w:lang w:eastAsia="en-US"/>
        </w:rPr>
        <w:t>, że badania będ</w:t>
      </w:r>
      <w:r w:rsidR="00E30EBA" w:rsidRPr="00FE708B">
        <w:rPr>
          <w:rFonts w:asciiTheme="minorHAnsi" w:eastAsiaTheme="minorHAnsi" w:hAnsiTheme="minorHAnsi" w:cstheme="minorHAnsi"/>
          <w:lang w:eastAsia="en-US"/>
        </w:rPr>
        <w:t xml:space="preserve">zie </w:t>
      </w:r>
      <w:r w:rsidRPr="00FE708B">
        <w:rPr>
          <w:rFonts w:asciiTheme="minorHAnsi" w:eastAsiaTheme="minorHAnsi" w:hAnsiTheme="minorHAnsi" w:cstheme="minorHAnsi"/>
          <w:lang w:eastAsia="en-US"/>
        </w:rPr>
        <w:t>prowadz</w:t>
      </w:r>
      <w:r w:rsidR="00E30EBA" w:rsidRPr="00FE708B">
        <w:rPr>
          <w:rFonts w:asciiTheme="minorHAnsi" w:eastAsiaTheme="minorHAnsi" w:hAnsiTheme="minorHAnsi" w:cstheme="minorHAnsi"/>
          <w:lang w:eastAsia="en-US"/>
        </w:rPr>
        <w:t xml:space="preserve">ił </w:t>
      </w:r>
      <w:r w:rsidRPr="00FE708B">
        <w:rPr>
          <w:rFonts w:asciiTheme="minorHAnsi" w:eastAsiaTheme="minorHAnsi" w:hAnsiTheme="minorHAnsi" w:cstheme="minorHAnsi"/>
          <w:lang w:eastAsia="en-US"/>
        </w:rPr>
        <w:t xml:space="preserve">techniką indywidualnych wywiadów pogłębionych (IDI) </w:t>
      </w:r>
      <w:r w:rsidR="009E0977" w:rsidRPr="00FE708B">
        <w:rPr>
          <w:rFonts w:asciiTheme="minorHAnsi" w:eastAsiaTheme="minorHAnsi" w:hAnsiTheme="minorHAnsi" w:cstheme="minorHAnsi"/>
          <w:lang w:eastAsia="en-US"/>
        </w:rPr>
        <w:t>oraz</w:t>
      </w:r>
      <w:r w:rsidRPr="00FE708B">
        <w:rPr>
          <w:rFonts w:asciiTheme="minorHAnsi" w:eastAsiaTheme="minorHAnsi" w:hAnsiTheme="minorHAnsi" w:cstheme="minorHAnsi"/>
          <w:lang w:eastAsia="en-US"/>
        </w:rPr>
        <w:t xml:space="preserve"> indywidualnych telefonicznych wywiadów pogłębionych (TDI). </w:t>
      </w:r>
    </w:p>
    <w:p w14:paraId="318AFB1F" w14:textId="77777777" w:rsidR="0077012C" w:rsidRPr="00FE708B" w:rsidRDefault="007701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Badanie jakościowe powinno umożliwić Wykonawcy zapoznanie się z funkcjonowaniem BUR/PSF, w tym pozwolić na identyfikację szeregu zjawisk, jakie występują na poszczególnych </w:t>
      </w:r>
      <w:r w:rsidR="00E30EBA"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szczeblach</w:t>
      </w:r>
      <w:r w:rsidR="00E30EBA"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systemu (zgodnie z pytaniami badawczymi zawartymi w OPZ). Wiedza ta </w:t>
      </w:r>
      <w:r w:rsidR="00163E4D" w:rsidRPr="00FE708B">
        <w:rPr>
          <w:rFonts w:asciiTheme="minorHAnsi" w:eastAsiaTheme="minorHAnsi" w:hAnsiTheme="minorHAnsi" w:cstheme="minorHAnsi"/>
          <w:lang w:eastAsia="en-US"/>
        </w:rPr>
        <w:t xml:space="preserve">zostanie przez </w:t>
      </w:r>
      <w:r w:rsidRPr="00FE708B">
        <w:rPr>
          <w:rFonts w:asciiTheme="minorHAnsi" w:eastAsiaTheme="minorHAnsi" w:hAnsiTheme="minorHAnsi" w:cstheme="minorHAnsi"/>
          <w:lang w:eastAsia="en-US"/>
        </w:rPr>
        <w:t>Wykonawc</w:t>
      </w:r>
      <w:r w:rsidR="00163E4D" w:rsidRPr="00FE708B">
        <w:rPr>
          <w:rFonts w:asciiTheme="minorHAnsi" w:eastAsiaTheme="minorHAnsi" w:hAnsiTheme="minorHAnsi" w:cstheme="minorHAnsi"/>
          <w:lang w:eastAsia="en-US"/>
        </w:rPr>
        <w:t>ę</w:t>
      </w:r>
      <w:r w:rsidRPr="00FE708B">
        <w:rPr>
          <w:rFonts w:asciiTheme="minorHAnsi" w:eastAsiaTheme="minorHAnsi" w:hAnsiTheme="minorHAnsi" w:cstheme="minorHAnsi"/>
          <w:lang w:eastAsia="en-US"/>
        </w:rPr>
        <w:t xml:space="preserve"> </w:t>
      </w:r>
      <w:r w:rsidR="00163E4D" w:rsidRPr="00FE708B">
        <w:rPr>
          <w:rFonts w:asciiTheme="minorHAnsi" w:eastAsiaTheme="minorHAnsi" w:hAnsiTheme="minorHAnsi" w:cstheme="minorHAnsi"/>
          <w:lang w:eastAsia="en-US"/>
        </w:rPr>
        <w:t>wykorzystana do</w:t>
      </w:r>
      <w:r w:rsidRPr="00FE708B">
        <w:rPr>
          <w:rFonts w:asciiTheme="minorHAnsi" w:eastAsiaTheme="minorHAnsi" w:hAnsiTheme="minorHAnsi" w:cstheme="minorHAnsi"/>
          <w:lang w:eastAsia="en-US"/>
        </w:rPr>
        <w:t xml:space="preserve"> przygotowani</w:t>
      </w:r>
      <w:r w:rsidR="00163E4D" w:rsidRPr="00FE708B">
        <w:rPr>
          <w:rFonts w:asciiTheme="minorHAnsi" w:eastAsiaTheme="minorHAnsi" w:hAnsiTheme="minorHAnsi" w:cstheme="minorHAnsi"/>
          <w:lang w:eastAsia="en-US"/>
        </w:rPr>
        <w:t>a</w:t>
      </w:r>
      <w:r w:rsidRPr="00FE708B">
        <w:rPr>
          <w:rFonts w:asciiTheme="minorHAnsi" w:eastAsiaTheme="minorHAnsi" w:hAnsiTheme="minorHAnsi" w:cstheme="minorHAnsi"/>
          <w:lang w:eastAsia="en-US"/>
        </w:rPr>
        <w:t xml:space="preserve"> propozycji ostatecznych narzędzi badawczych (do badania jakościowego oraz ilościowego – cześć właściwa badania), jak również będzie pomocna przy udzielaniu odpowiedzi na część pytań badawczych.  </w:t>
      </w:r>
    </w:p>
    <w:p w14:paraId="3BD09633" w14:textId="77777777" w:rsidR="0077012C" w:rsidRPr="00FE708B" w:rsidRDefault="008D09D2" w:rsidP="00E97F99">
      <w:pPr>
        <w:pStyle w:val="Legenda"/>
        <w:keepNext/>
        <w:spacing w:before="120" w:after="120" w:line="360" w:lineRule="auto"/>
        <w:rPr>
          <w:rFonts w:cstheme="minorHAnsi"/>
          <w:b/>
          <w:sz w:val="24"/>
          <w:szCs w:val="24"/>
        </w:rPr>
      </w:pPr>
      <w:r w:rsidRPr="00FE708B">
        <w:rPr>
          <w:rFonts w:cstheme="minorHAnsi"/>
          <w:b/>
          <w:sz w:val="24"/>
          <w:szCs w:val="24"/>
        </w:rPr>
        <w:t xml:space="preserve">Tabela </w:t>
      </w:r>
      <w:r w:rsidRPr="00FE708B">
        <w:rPr>
          <w:rFonts w:cstheme="minorHAnsi"/>
          <w:b/>
          <w:sz w:val="24"/>
          <w:szCs w:val="24"/>
        </w:rPr>
        <w:fldChar w:fldCharType="begin"/>
      </w:r>
      <w:r w:rsidRPr="00FE708B">
        <w:rPr>
          <w:rFonts w:cstheme="minorHAnsi"/>
          <w:b/>
          <w:sz w:val="24"/>
          <w:szCs w:val="24"/>
        </w:rPr>
        <w:instrText xml:space="preserve"> SEQ Tabela \* ARABIC </w:instrText>
      </w:r>
      <w:r w:rsidRPr="00FE708B">
        <w:rPr>
          <w:rFonts w:cstheme="minorHAnsi"/>
          <w:b/>
          <w:sz w:val="24"/>
          <w:szCs w:val="24"/>
        </w:rPr>
        <w:fldChar w:fldCharType="separate"/>
      </w:r>
      <w:r w:rsidRPr="00FE708B">
        <w:rPr>
          <w:rFonts w:cstheme="minorHAnsi"/>
          <w:b/>
          <w:noProof/>
          <w:sz w:val="24"/>
          <w:szCs w:val="24"/>
        </w:rPr>
        <w:t>1</w:t>
      </w:r>
      <w:r w:rsidRPr="00FE708B">
        <w:rPr>
          <w:rFonts w:cstheme="minorHAnsi"/>
          <w:b/>
          <w:sz w:val="24"/>
          <w:szCs w:val="24"/>
        </w:rPr>
        <w:fldChar w:fldCharType="end"/>
      </w:r>
      <w:r w:rsidRPr="00FE708B">
        <w:rPr>
          <w:rFonts w:cstheme="minorHAnsi"/>
          <w:b/>
          <w:sz w:val="24"/>
          <w:szCs w:val="24"/>
        </w:rPr>
        <w:t xml:space="preserve"> Opis próby badania jakościowego części wstępnej</w:t>
      </w:r>
    </w:p>
    <w:tbl>
      <w:tblPr>
        <w:tblStyle w:val="Tabela-Siatka"/>
        <w:tblW w:w="0" w:type="auto"/>
        <w:tblLayout w:type="fixed"/>
        <w:tblLook w:val="04A0" w:firstRow="1" w:lastRow="0" w:firstColumn="1" w:lastColumn="0" w:noHBand="0" w:noVBand="1"/>
      </w:tblPr>
      <w:tblGrid>
        <w:gridCol w:w="2265"/>
        <w:gridCol w:w="2266"/>
        <w:gridCol w:w="2265"/>
        <w:gridCol w:w="2266"/>
      </w:tblGrid>
      <w:tr w:rsidR="00643EB4" w:rsidRPr="00FE708B" w14:paraId="35A6DBEC" w14:textId="77777777" w:rsidTr="007A5039">
        <w:trPr>
          <w:trHeight w:val="1549"/>
        </w:trPr>
        <w:tc>
          <w:tcPr>
            <w:tcW w:w="2265" w:type="dxa"/>
            <w:vAlign w:val="center"/>
          </w:tcPr>
          <w:p w14:paraId="4C1EF65F" w14:textId="77777777" w:rsidR="002B37CD" w:rsidRPr="00FE708B" w:rsidRDefault="002B37CD"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Badana populacja</w:t>
            </w:r>
          </w:p>
        </w:tc>
        <w:tc>
          <w:tcPr>
            <w:tcW w:w="2266" w:type="dxa"/>
            <w:vAlign w:val="center"/>
          </w:tcPr>
          <w:p w14:paraId="5ADE7E2A" w14:textId="77777777" w:rsidR="002B37CD" w:rsidRPr="00FE708B" w:rsidRDefault="002B37CD"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Jednostka próby</w:t>
            </w:r>
          </w:p>
        </w:tc>
        <w:tc>
          <w:tcPr>
            <w:tcW w:w="2265" w:type="dxa"/>
            <w:vAlign w:val="center"/>
          </w:tcPr>
          <w:p w14:paraId="249B016D" w14:textId="77777777" w:rsidR="002B37CD" w:rsidRPr="00FE708B" w:rsidRDefault="002B37CD"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Wielkość próby</w:t>
            </w:r>
          </w:p>
        </w:tc>
        <w:tc>
          <w:tcPr>
            <w:tcW w:w="2266" w:type="dxa"/>
            <w:vAlign w:val="center"/>
          </w:tcPr>
          <w:p w14:paraId="69928936" w14:textId="77777777" w:rsidR="002B37CD" w:rsidRPr="00FE708B" w:rsidRDefault="009E0977" w:rsidP="009E0977">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Technika, n</w:t>
            </w:r>
            <w:r w:rsidR="002B37CD" w:rsidRPr="00FE708B">
              <w:rPr>
                <w:rFonts w:asciiTheme="minorHAnsi" w:eastAsiaTheme="minorHAnsi" w:hAnsiTheme="minorHAnsi" w:cstheme="minorHAnsi"/>
                <w:b/>
                <w:lang w:eastAsia="en-US"/>
              </w:rPr>
              <w:t>arzędzie badawcze, czas wywiadu, dobór próby</w:t>
            </w:r>
          </w:p>
        </w:tc>
      </w:tr>
      <w:tr w:rsidR="00643EB4" w:rsidRPr="00FE708B" w14:paraId="6BB9940D" w14:textId="77777777" w:rsidTr="00643EB4">
        <w:tc>
          <w:tcPr>
            <w:tcW w:w="2265" w:type="dxa"/>
          </w:tcPr>
          <w:p w14:paraId="5D4FB783" w14:textId="77777777" w:rsidR="002B37CD" w:rsidRPr="00FE708B" w:rsidRDefault="002B37CD" w:rsidP="00E30EBA">
            <w:pPr>
              <w:pStyle w:val="NormalnyWeb"/>
              <w:numPr>
                <w:ilvl w:val="0"/>
                <w:numId w:val="7"/>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Instytucje odpowiedzialne za BUR lub PSF</w:t>
            </w:r>
          </w:p>
        </w:tc>
        <w:tc>
          <w:tcPr>
            <w:tcW w:w="2266" w:type="dxa"/>
          </w:tcPr>
          <w:p w14:paraId="56400111" w14:textId="77777777" w:rsidR="002B37CD" w:rsidRPr="00FE708B" w:rsidRDefault="002B37CD" w:rsidP="009B4369">
            <w:pPr>
              <w:pStyle w:val="NormalnyWeb"/>
              <w:numPr>
                <w:ilvl w:val="0"/>
                <w:numId w:val="8"/>
              </w:numPr>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Przedstawiciel Departamentu </w:t>
            </w:r>
            <w:r w:rsidR="00E30EBA" w:rsidRPr="00FE708B">
              <w:rPr>
                <w:rFonts w:asciiTheme="minorHAnsi" w:eastAsiaTheme="minorHAnsi" w:hAnsiTheme="minorHAnsi" w:cstheme="minorHAnsi"/>
                <w:lang w:eastAsia="en-US"/>
              </w:rPr>
              <w:t xml:space="preserve">w Ministerstwie Inwestycji i Rozwoju, pełniącego funkcję Instytucji Zarządzającej  </w:t>
            </w:r>
            <w:r w:rsidRPr="00FE708B">
              <w:rPr>
                <w:rFonts w:asciiTheme="minorHAnsi" w:eastAsiaTheme="minorHAnsi" w:hAnsiTheme="minorHAnsi" w:cstheme="minorHAnsi"/>
                <w:lang w:eastAsia="en-US"/>
              </w:rPr>
              <w:t xml:space="preserve">PO </w:t>
            </w:r>
            <w:r w:rsidRPr="00FE708B">
              <w:rPr>
                <w:rFonts w:asciiTheme="minorHAnsi" w:eastAsiaTheme="minorHAnsi" w:hAnsiTheme="minorHAnsi" w:cstheme="minorHAnsi"/>
                <w:lang w:eastAsia="en-US"/>
              </w:rPr>
              <w:lastRenderedPageBreak/>
              <w:t>WER (MIiR – IZ PO WER)</w:t>
            </w:r>
          </w:p>
          <w:p w14:paraId="7075D944" w14:textId="77777777" w:rsidR="002B37CD" w:rsidRPr="00FE708B" w:rsidRDefault="002B37CD" w:rsidP="009B4369">
            <w:pPr>
              <w:pStyle w:val="NormalnyWeb"/>
              <w:numPr>
                <w:ilvl w:val="0"/>
                <w:numId w:val="8"/>
              </w:numPr>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Przedstawiciele PARP</w:t>
            </w:r>
            <w:r w:rsidR="00E30EBA" w:rsidRPr="00FE708B">
              <w:rPr>
                <w:rFonts w:asciiTheme="minorHAnsi" w:eastAsiaTheme="minorHAnsi" w:hAnsiTheme="minorHAnsi" w:cstheme="minorHAnsi"/>
                <w:lang w:eastAsia="en-US"/>
              </w:rPr>
              <w:t xml:space="preserve"> (Beneficjenta Projektu BUR)</w:t>
            </w:r>
            <w:r w:rsidRPr="00FE708B">
              <w:rPr>
                <w:rFonts w:asciiTheme="minorHAnsi" w:eastAsiaTheme="minorHAnsi" w:hAnsiTheme="minorHAnsi" w:cstheme="minorHAnsi"/>
                <w:lang w:eastAsia="en-US"/>
              </w:rPr>
              <w:t xml:space="preserve"> </w:t>
            </w:r>
          </w:p>
          <w:p w14:paraId="741CFBB6" w14:textId="77777777" w:rsidR="002B37CD" w:rsidRPr="00FE708B" w:rsidRDefault="002B37CD" w:rsidP="0029393F">
            <w:pPr>
              <w:pStyle w:val="NormalnyWeb"/>
              <w:numPr>
                <w:ilvl w:val="0"/>
                <w:numId w:val="8"/>
              </w:numPr>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Przedstawiciele </w:t>
            </w:r>
            <w:r w:rsidR="00E30EBA" w:rsidRPr="00FE708B">
              <w:rPr>
                <w:rFonts w:asciiTheme="minorHAnsi" w:eastAsiaTheme="minorHAnsi" w:hAnsiTheme="minorHAnsi" w:cstheme="minorHAnsi"/>
                <w:lang w:eastAsia="en-US"/>
              </w:rPr>
              <w:t>Urzędów Marszałkowskich pełniących funkcję Instytucji Zarządzającej RPO</w:t>
            </w:r>
            <w:r w:rsidRPr="00FE708B">
              <w:rPr>
                <w:rFonts w:asciiTheme="minorHAnsi" w:eastAsiaTheme="minorHAnsi" w:hAnsiTheme="minorHAnsi" w:cstheme="minorHAnsi"/>
                <w:lang w:eastAsia="en-US"/>
              </w:rPr>
              <w:t xml:space="preserve"> </w:t>
            </w:r>
            <w:r w:rsidR="00E30EBA"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 xml:space="preserve">(IZ </w:t>
            </w:r>
            <w:r w:rsidR="0077012C" w:rsidRPr="00FE708B">
              <w:rPr>
                <w:rFonts w:asciiTheme="minorHAnsi" w:eastAsiaTheme="minorHAnsi" w:hAnsiTheme="minorHAnsi" w:cstheme="minorHAnsi"/>
                <w:lang w:eastAsia="en-US"/>
              </w:rPr>
              <w:t>RPO</w:t>
            </w:r>
            <w:r w:rsidR="00E30EBA" w:rsidRPr="00FE708B">
              <w:rPr>
                <w:rFonts w:asciiTheme="minorHAnsi" w:eastAsiaTheme="minorHAnsi" w:hAnsiTheme="minorHAnsi" w:cstheme="minorHAnsi"/>
                <w:lang w:eastAsia="en-US"/>
              </w:rPr>
              <w:t xml:space="preserve">) i </w:t>
            </w:r>
            <w:r w:rsidR="0077012C"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odpowiedzialnych za wdrażanie PSF</w:t>
            </w:r>
            <w:r w:rsidR="00E30EBA" w:rsidRPr="00FE708B">
              <w:rPr>
                <w:rFonts w:asciiTheme="minorHAnsi" w:eastAsiaTheme="minorHAnsi" w:hAnsiTheme="minorHAnsi" w:cstheme="minorHAnsi"/>
                <w:lang w:eastAsia="en-US"/>
              </w:rPr>
              <w:t xml:space="preserve"> w regionie</w:t>
            </w:r>
            <w:r w:rsidR="0029393F" w:rsidRPr="00FE708B">
              <w:rPr>
                <w:rFonts w:asciiTheme="minorHAnsi" w:eastAsiaTheme="minorHAnsi" w:hAnsiTheme="minorHAnsi" w:cstheme="minorHAnsi"/>
                <w:lang w:eastAsia="en-US"/>
              </w:rPr>
              <w:t xml:space="preserve">. </w:t>
            </w:r>
          </w:p>
        </w:tc>
        <w:tc>
          <w:tcPr>
            <w:tcW w:w="2265" w:type="dxa"/>
          </w:tcPr>
          <w:p w14:paraId="16F1789F" w14:textId="77777777" w:rsidR="002B37CD" w:rsidRPr="00FE708B" w:rsidRDefault="002B37CD" w:rsidP="009B4369">
            <w:pPr>
              <w:pStyle w:val="NormalnyWeb"/>
              <w:numPr>
                <w:ilvl w:val="0"/>
                <w:numId w:val="9"/>
              </w:numPr>
              <w:spacing w:before="120" w:after="120" w:line="360" w:lineRule="auto"/>
              <w:ind w:left="256"/>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n=1</w:t>
            </w:r>
          </w:p>
          <w:p w14:paraId="48AD16D8" w14:textId="77777777" w:rsidR="002B37CD" w:rsidRPr="00FE708B" w:rsidRDefault="002B37CD" w:rsidP="009B4369">
            <w:pPr>
              <w:pStyle w:val="NormalnyWeb"/>
              <w:numPr>
                <w:ilvl w:val="0"/>
                <w:numId w:val="9"/>
              </w:numPr>
              <w:spacing w:before="120" w:after="120" w:line="360" w:lineRule="auto"/>
              <w:ind w:left="256"/>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n=2</w:t>
            </w:r>
          </w:p>
          <w:p w14:paraId="33524751" w14:textId="77777777" w:rsidR="002B37CD" w:rsidRPr="00FE708B" w:rsidRDefault="002B37CD" w:rsidP="0029393F">
            <w:pPr>
              <w:pStyle w:val="NormalnyWeb"/>
              <w:numPr>
                <w:ilvl w:val="0"/>
                <w:numId w:val="9"/>
              </w:numPr>
              <w:spacing w:before="120" w:after="120" w:line="360" w:lineRule="auto"/>
              <w:ind w:left="256"/>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n=1</w:t>
            </w:r>
            <w:r w:rsidR="0029393F" w:rsidRPr="00FE708B">
              <w:rPr>
                <w:rFonts w:asciiTheme="minorHAnsi" w:eastAsiaTheme="minorHAnsi" w:hAnsiTheme="minorHAnsi" w:cstheme="minorHAnsi"/>
                <w:lang w:eastAsia="en-US"/>
              </w:rPr>
              <w:t>5</w:t>
            </w:r>
            <w:r w:rsidRPr="00FE708B">
              <w:rPr>
                <w:rFonts w:asciiTheme="minorHAnsi" w:eastAsiaTheme="minorHAnsi" w:hAnsiTheme="minorHAnsi" w:cstheme="minorHAnsi"/>
                <w:lang w:eastAsia="en-US"/>
              </w:rPr>
              <w:t xml:space="preserve"> (po 1 wywiadzie w każd</w:t>
            </w:r>
            <w:r w:rsidR="0029393F" w:rsidRPr="00FE708B">
              <w:rPr>
                <w:rFonts w:asciiTheme="minorHAnsi" w:eastAsiaTheme="minorHAnsi" w:hAnsiTheme="minorHAnsi" w:cstheme="minorHAnsi"/>
                <w:lang w:eastAsia="en-US"/>
              </w:rPr>
              <w:t xml:space="preserve">ym województwie wdrażającym PSF, nie dotyczy </w:t>
            </w:r>
            <w:r w:rsidR="0029393F" w:rsidRPr="00FE708B">
              <w:rPr>
                <w:rFonts w:asciiTheme="minorHAnsi" w:eastAsiaTheme="minorHAnsi" w:hAnsiTheme="minorHAnsi" w:cstheme="minorHAnsi"/>
                <w:lang w:eastAsia="en-US"/>
              </w:rPr>
              <w:lastRenderedPageBreak/>
              <w:t>województwa śląskiego, gdzie zostaną zrealizowane 2 wywiady, 1 z przedstawicielem IZ RPO, 1 z przedstawicielem IP RPO WSL</w:t>
            </w:r>
            <w:r w:rsidR="0029393F" w:rsidRPr="00FE708B">
              <w:rPr>
                <w:rStyle w:val="Odwoanieprzypisudolnego"/>
                <w:rFonts w:asciiTheme="minorHAnsi" w:eastAsiaTheme="minorHAnsi" w:hAnsiTheme="minorHAnsi" w:cstheme="minorHAnsi"/>
                <w:lang w:eastAsia="en-US"/>
              </w:rPr>
              <w:footnoteReference w:id="17"/>
            </w:r>
            <w:r w:rsidR="0029393F" w:rsidRPr="00FE708B">
              <w:rPr>
                <w:rFonts w:asciiTheme="minorHAnsi" w:eastAsiaTheme="minorHAnsi" w:hAnsiTheme="minorHAnsi" w:cstheme="minorHAnsi"/>
                <w:lang w:eastAsia="en-US"/>
              </w:rPr>
              <w:t>)</w:t>
            </w:r>
          </w:p>
        </w:tc>
        <w:tc>
          <w:tcPr>
            <w:tcW w:w="2266" w:type="dxa"/>
          </w:tcPr>
          <w:p w14:paraId="7686C903" w14:textId="77777777" w:rsidR="009E0977" w:rsidRPr="00FE708B" w:rsidRDefault="00DD630D"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IDI</w:t>
            </w:r>
          </w:p>
          <w:p w14:paraId="2BDA6915"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74FE212B"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w:t>
            </w:r>
            <w:r w:rsidR="00E30EBA" w:rsidRPr="00FE708B">
              <w:rPr>
                <w:rFonts w:asciiTheme="minorHAnsi" w:eastAsiaTheme="minorHAnsi" w:hAnsiTheme="minorHAnsi" w:cstheme="minorHAnsi"/>
                <w:lang w:eastAsia="en-US"/>
              </w:rPr>
              <w:t>9</w:t>
            </w:r>
            <w:r w:rsidRPr="00FE708B">
              <w:rPr>
                <w:rFonts w:asciiTheme="minorHAnsi" w:eastAsiaTheme="minorHAnsi" w:hAnsiTheme="minorHAnsi" w:cstheme="minorHAnsi"/>
                <w:lang w:eastAsia="en-US"/>
              </w:rPr>
              <w:t xml:space="preserve">0 minut </w:t>
            </w:r>
          </w:p>
          <w:p w14:paraId="544B66F4" w14:textId="77777777" w:rsidR="002B37CD" w:rsidRPr="00FE708B" w:rsidRDefault="00163E4D" w:rsidP="00163E4D">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Dobór ekspercki</w:t>
            </w:r>
            <w:r w:rsidR="00E30EBA" w:rsidRPr="00FE708B">
              <w:rPr>
                <w:rFonts w:asciiTheme="minorHAnsi" w:eastAsiaTheme="minorHAnsi" w:hAnsiTheme="minorHAnsi" w:cstheme="minorHAnsi"/>
                <w:lang w:eastAsia="en-US"/>
              </w:rPr>
              <w:t>, uzgodniony z Zamawiającym</w:t>
            </w:r>
            <w:r w:rsidR="002B37CD" w:rsidRPr="00FE708B">
              <w:rPr>
                <w:rFonts w:asciiTheme="minorHAnsi" w:eastAsiaTheme="minorHAnsi" w:hAnsiTheme="minorHAnsi" w:cstheme="minorHAnsi"/>
                <w:lang w:eastAsia="en-US"/>
              </w:rPr>
              <w:t xml:space="preserve">. </w:t>
            </w:r>
          </w:p>
        </w:tc>
      </w:tr>
      <w:tr w:rsidR="00643EB4" w:rsidRPr="00FE708B" w14:paraId="6ECE27D6" w14:textId="77777777" w:rsidTr="00643EB4">
        <w:tc>
          <w:tcPr>
            <w:tcW w:w="2265" w:type="dxa"/>
          </w:tcPr>
          <w:p w14:paraId="4971A8C3" w14:textId="77777777" w:rsidR="002B37CD" w:rsidRPr="00FE708B" w:rsidRDefault="002B37CD" w:rsidP="009B4369">
            <w:pPr>
              <w:pStyle w:val="NormalnyWeb"/>
              <w:numPr>
                <w:ilvl w:val="0"/>
                <w:numId w:val="7"/>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Przedsiębiorstwa, których pracownicy skorzystali z usług rozwojowych za pośrednictwem BUR  </w:t>
            </w:r>
          </w:p>
        </w:tc>
        <w:tc>
          <w:tcPr>
            <w:tcW w:w="2266" w:type="dxa"/>
          </w:tcPr>
          <w:p w14:paraId="28642C5D" w14:textId="77777777" w:rsidR="002B37CD" w:rsidRPr="00FE708B" w:rsidRDefault="002B37CD" w:rsidP="00E97F99">
            <w:pPr>
              <w:pStyle w:val="NormalnyWeb"/>
              <w:spacing w:before="120" w:after="120" w:line="360" w:lineRule="auto"/>
              <w:ind w:left="320"/>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która w imieniu przedsiębiorcy prowadziła prace związane z kierowaniem pracowników na szkolenia</w:t>
            </w:r>
          </w:p>
        </w:tc>
        <w:tc>
          <w:tcPr>
            <w:tcW w:w="2265" w:type="dxa"/>
          </w:tcPr>
          <w:p w14:paraId="2606B85D" w14:textId="77777777" w:rsidR="002B37CD" w:rsidRPr="00FE708B" w:rsidRDefault="002B37CD" w:rsidP="009E0977">
            <w:pPr>
              <w:pStyle w:val="NormalnyWeb"/>
              <w:spacing w:before="120" w:after="120" w:line="360" w:lineRule="auto"/>
              <w:ind w:left="32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9E0977" w:rsidRPr="00FE708B">
              <w:rPr>
                <w:rFonts w:asciiTheme="minorHAnsi" w:eastAsiaTheme="minorHAnsi" w:hAnsiTheme="minorHAnsi" w:cstheme="minorHAnsi"/>
                <w:lang w:eastAsia="en-US"/>
              </w:rPr>
              <w:t>9</w:t>
            </w:r>
          </w:p>
        </w:tc>
        <w:tc>
          <w:tcPr>
            <w:tcW w:w="2266" w:type="dxa"/>
          </w:tcPr>
          <w:p w14:paraId="6ADB93AF" w14:textId="77777777" w:rsidR="009E0977" w:rsidRPr="00FE708B" w:rsidRDefault="005545F1"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n=5 IDI, n=4 TDI</w:t>
            </w:r>
          </w:p>
          <w:p w14:paraId="04BDA0DB"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79D0A3D5"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w:t>
            </w:r>
            <w:r w:rsidR="00A23087" w:rsidRPr="00FE708B">
              <w:rPr>
                <w:rFonts w:asciiTheme="minorHAnsi" w:eastAsiaTheme="minorHAnsi" w:hAnsiTheme="minorHAnsi" w:cstheme="minorHAnsi"/>
                <w:lang w:eastAsia="en-US"/>
              </w:rPr>
              <w:t>60</w:t>
            </w:r>
            <w:r w:rsidRPr="00FE708B">
              <w:rPr>
                <w:rFonts w:asciiTheme="minorHAnsi" w:eastAsiaTheme="minorHAnsi" w:hAnsiTheme="minorHAnsi" w:cstheme="minorHAnsi"/>
                <w:lang w:eastAsia="en-US"/>
              </w:rPr>
              <w:t xml:space="preserve"> minut </w:t>
            </w:r>
          </w:p>
          <w:p w14:paraId="542A1E02" w14:textId="77777777" w:rsidR="002B37CD" w:rsidRPr="00FE708B" w:rsidRDefault="00ED6D49" w:rsidP="009E0977">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 zostanie ustalony na etapie opracowywania wstępnego raportu metodologicznego, dotyczy to zwłaszcza takich cech jak: wielkość </w:t>
            </w:r>
            <w:r w:rsidRPr="00FE708B">
              <w:rPr>
                <w:rFonts w:asciiTheme="minorHAnsi" w:eastAsiaTheme="minorHAnsi" w:hAnsiTheme="minorHAnsi" w:cstheme="minorHAnsi"/>
                <w:lang w:eastAsia="en-US"/>
              </w:rPr>
              <w:lastRenderedPageBreak/>
              <w:t xml:space="preserve">przedsiębiorstwa, branża oraz lokalizacja. Niemniej, alokacja próby powinna umożliwiać grupowanie respondentów według poszczególnych modeli dystrybucji środków w ramach PSF (po </w:t>
            </w:r>
            <w:r w:rsidR="009E0977" w:rsidRPr="00FE708B">
              <w:rPr>
                <w:rFonts w:asciiTheme="minorHAnsi" w:eastAsiaTheme="minorHAnsi" w:hAnsiTheme="minorHAnsi" w:cstheme="minorHAnsi"/>
                <w:lang w:eastAsia="en-US"/>
              </w:rPr>
              <w:t>3</w:t>
            </w:r>
            <w:r w:rsidRPr="00FE708B">
              <w:rPr>
                <w:rFonts w:asciiTheme="minorHAnsi" w:eastAsiaTheme="minorHAnsi" w:hAnsiTheme="minorHAnsi" w:cstheme="minorHAnsi"/>
                <w:lang w:eastAsia="en-US"/>
              </w:rPr>
              <w:t xml:space="preserve"> wywiady na model).</w:t>
            </w:r>
          </w:p>
        </w:tc>
      </w:tr>
      <w:tr w:rsidR="00643EB4" w:rsidRPr="00FE708B" w14:paraId="360CDC38" w14:textId="77777777" w:rsidTr="00643EB4">
        <w:tc>
          <w:tcPr>
            <w:tcW w:w="2265" w:type="dxa"/>
          </w:tcPr>
          <w:p w14:paraId="75DB3945" w14:textId="77777777" w:rsidR="00ED6D49" w:rsidRPr="00FE708B" w:rsidRDefault="00ED6D49" w:rsidP="009B4369">
            <w:pPr>
              <w:pStyle w:val="NormalnyWeb"/>
              <w:numPr>
                <w:ilvl w:val="0"/>
                <w:numId w:val="7"/>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Operatorzy – podmioty do których zadań należy kompleksowa obsługa przedsiębiorcy, m.in. przyjmowanie, ocenianie i rozliczanie wniosków o wsparcie, działania kontrolne oraz monitoringowe (np. sprawdzanie </w:t>
            </w:r>
            <w:r w:rsidRPr="00FE708B">
              <w:rPr>
                <w:rFonts w:asciiTheme="minorHAnsi" w:eastAsiaTheme="minorHAnsi" w:hAnsiTheme="minorHAnsi" w:cstheme="minorHAnsi"/>
                <w:lang w:eastAsia="en-US"/>
              </w:rPr>
              <w:lastRenderedPageBreak/>
              <w:t xml:space="preserve">zgodności z oczekiwanym standardem świadczonych usług rozwojowych). </w:t>
            </w:r>
          </w:p>
          <w:p w14:paraId="76310812"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p>
        </w:tc>
        <w:tc>
          <w:tcPr>
            <w:tcW w:w="2266" w:type="dxa"/>
          </w:tcPr>
          <w:p w14:paraId="520F8C0E" w14:textId="77777777" w:rsidR="002B37CD" w:rsidRPr="00FE708B" w:rsidRDefault="00463225" w:rsidP="00E97F99">
            <w:pPr>
              <w:pStyle w:val="NormalnyWeb"/>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Osoba zarządzająca projektem</w:t>
            </w:r>
          </w:p>
        </w:tc>
        <w:tc>
          <w:tcPr>
            <w:tcW w:w="2265" w:type="dxa"/>
          </w:tcPr>
          <w:p w14:paraId="397CD61E" w14:textId="77777777" w:rsidR="002B37CD" w:rsidRPr="00FE708B" w:rsidRDefault="00ED6D49" w:rsidP="00E97F99">
            <w:pPr>
              <w:pStyle w:val="NormalnyWeb"/>
              <w:spacing w:before="120" w:after="120" w:line="360" w:lineRule="auto"/>
              <w:ind w:left="27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n=6</w:t>
            </w:r>
          </w:p>
        </w:tc>
        <w:tc>
          <w:tcPr>
            <w:tcW w:w="2266" w:type="dxa"/>
          </w:tcPr>
          <w:p w14:paraId="052F1F5C" w14:textId="77777777" w:rsidR="009E0977" w:rsidRPr="00FE708B" w:rsidRDefault="009E0977"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TDI</w:t>
            </w:r>
          </w:p>
          <w:p w14:paraId="7BD2B375" w14:textId="77777777" w:rsidR="00ED6D49" w:rsidRPr="00FE708B" w:rsidRDefault="00ED6D49"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5D3B81B1" w14:textId="77777777" w:rsidR="00ED6D49" w:rsidRPr="00FE708B" w:rsidRDefault="00ED6D49"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+/- 60 minut </w:t>
            </w:r>
          </w:p>
          <w:p w14:paraId="4EEB5C9C" w14:textId="77777777" w:rsidR="00ED6D49" w:rsidRPr="00FE708B" w:rsidRDefault="00ED6D49"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 ekspercki, potencjalni respondenci zostaną wskazani przez Wykonawcę lub przez przedstawicieli IZ </w:t>
            </w:r>
            <w:r w:rsidR="008D09D2" w:rsidRPr="00FE708B">
              <w:rPr>
                <w:rFonts w:asciiTheme="minorHAnsi" w:eastAsiaTheme="minorHAnsi" w:hAnsiTheme="minorHAnsi" w:cstheme="minorHAnsi"/>
                <w:lang w:eastAsia="en-US"/>
              </w:rPr>
              <w:t>RPO</w:t>
            </w:r>
            <w:r w:rsidRPr="00FE708B">
              <w:rPr>
                <w:rFonts w:asciiTheme="minorHAnsi" w:eastAsiaTheme="minorHAnsi" w:hAnsiTheme="minorHAnsi" w:cstheme="minorHAnsi"/>
                <w:lang w:eastAsia="en-US"/>
              </w:rPr>
              <w:t xml:space="preserve">, niemniej alokacja próby powinna uwzględniać zróżnicowanie modeli dystrybucji </w:t>
            </w:r>
            <w:r w:rsidRPr="00FE708B">
              <w:rPr>
                <w:rFonts w:asciiTheme="minorHAnsi" w:eastAsiaTheme="minorHAnsi" w:hAnsiTheme="minorHAnsi" w:cstheme="minorHAnsi"/>
                <w:lang w:eastAsia="en-US"/>
              </w:rPr>
              <w:lastRenderedPageBreak/>
              <w:t>środków w ramach PSF (po 2 Operatorów na model)</w:t>
            </w:r>
          </w:p>
          <w:p w14:paraId="364CA96F" w14:textId="77777777" w:rsidR="002B37CD" w:rsidRPr="00FE708B" w:rsidRDefault="002B37CD" w:rsidP="00E97F99">
            <w:pPr>
              <w:pStyle w:val="NormalnyWeb"/>
              <w:spacing w:before="120" w:after="120" w:line="360" w:lineRule="auto"/>
              <w:rPr>
                <w:rFonts w:asciiTheme="minorHAnsi" w:eastAsiaTheme="minorHAnsi" w:hAnsiTheme="minorHAnsi" w:cstheme="minorHAnsi"/>
                <w:lang w:eastAsia="en-US"/>
              </w:rPr>
            </w:pPr>
          </w:p>
        </w:tc>
      </w:tr>
      <w:tr w:rsidR="00ED6D49" w:rsidRPr="00FE708B" w14:paraId="5FC6912E" w14:textId="77777777" w:rsidTr="00643EB4">
        <w:tc>
          <w:tcPr>
            <w:tcW w:w="2265" w:type="dxa"/>
          </w:tcPr>
          <w:p w14:paraId="26692278" w14:textId="77777777" w:rsidR="00ED6D49" w:rsidRPr="00FE708B" w:rsidRDefault="00ED6D49" w:rsidP="009B4369">
            <w:pPr>
              <w:pStyle w:val="NormalnyWeb"/>
              <w:numPr>
                <w:ilvl w:val="0"/>
                <w:numId w:val="7"/>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Firmy świadczące usługi za pośrednictwem BUR</w:t>
            </w:r>
          </w:p>
        </w:tc>
        <w:tc>
          <w:tcPr>
            <w:tcW w:w="2266" w:type="dxa"/>
          </w:tcPr>
          <w:p w14:paraId="2A5C0C11" w14:textId="77777777" w:rsidR="00ED6D49" w:rsidRPr="00FE708B" w:rsidRDefault="00ED6D49" w:rsidP="00E97F99">
            <w:pPr>
              <w:pStyle w:val="NormalnyWeb"/>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odpowiedzialna za sprawy formalne związane z obecnością firmy w BUR</w:t>
            </w:r>
          </w:p>
        </w:tc>
        <w:tc>
          <w:tcPr>
            <w:tcW w:w="2265" w:type="dxa"/>
          </w:tcPr>
          <w:p w14:paraId="2847C40A" w14:textId="77777777" w:rsidR="00ED6D49" w:rsidRPr="00FE708B" w:rsidRDefault="00ED6D49" w:rsidP="009E0977">
            <w:pPr>
              <w:pStyle w:val="NormalnyWeb"/>
              <w:spacing w:before="120" w:after="120" w:line="360" w:lineRule="auto"/>
              <w:ind w:left="27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9E0977" w:rsidRPr="00FE708B">
              <w:rPr>
                <w:rFonts w:asciiTheme="minorHAnsi" w:eastAsiaTheme="minorHAnsi" w:hAnsiTheme="minorHAnsi" w:cstheme="minorHAnsi"/>
                <w:lang w:eastAsia="en-US"/>
              </w:rPr>
              <w:t>9</w:t>
            </w:r>
          </w:p>
        </w:tc>
        <w:tc>
          <w:tcPr>
            <w:tcW w:w="2266" w:type="dxa"/>
          </w:tcPr>
          <w:p w14:paraId="643881A2" w14:textId="77777777" w:rsidR="009E0977" w:rsidRPr="00FE708B" w:rsidRDefault="009E0977"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TDI</w:t>
            </w:r>
          </w:p>
          <w:p w14:paraId="66D2010F" w14:textId="77777777" w:rsidR="00ED6D49" w:rsidRPr="00FE708B" w:rsidRDefault="00ED6D49"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217F9B28" w14:textId="77777777" w:rsidR="00ED6D49" w:rsidRPr="00FE708B" w:rsidRDefault="00ED6D49"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+/- 60 minut </w:t>
            </w:r>
          </w:p>
          <w:p w14:paraId="377006ED" w14:textId="77777777" w:rsidR="00ED6D49" w:rsidRPr="00FE708B" w:rsidRDefault="00643EB4" w:rsidP="00985111">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 ostateczny dobór próby zostanie ustalony na etapie opracowywania wstępnego raportu metodologicznego, dotyczy to zwłaszcza takich cech, jak wielkość przedsiębiorstwa, </w:t>
            </w:r>
            <w:r w:rsidR="00B530EE" w:rsidRPr="00FE708B">
              <w:rPr>
                <w:rFonts w:asciiTheme="minorHAnsi" w:eastAsiaTheme="minorHAnsi" w:hAnsiTheme="minorHAnsi" w:cstheme="minorHAnsi"/>
                <w:lang w:eastAsia="en-US"/>
              </w:rPr>
              <w:t xml:space="preserve">tematyka szkoleń, </w:t>
            </w:r>
            <w:r w:rsidRPr="00FE708B">
              <w:rPr>
                <w:rFonts w:asciiTheme="minorHAnsi" w:eastAsiaTheme="minorHAnsi" w:hAnsiTheme="minorHAnsi" w:cstheme="minorHAnsi"/>
                <w:lang w:eastAsia="en-US"/>
              </w:rPr>
              <w:t xml:space="preserve">branża oraz lokalizacja. Niemniej przyjmujemy, że alokacja próby powinna umożliwiać grupowanie respondentów </w:t>
            </w:r>
            <w:r w:rsidRPr="00FE708B">
              <w:rPr>
                <w:rFonts w:asciiTheme="minorHAnsi" w:eastAsiaTheme="minorHAnsi" w:hAnsiTheme="minorHAnsi" w:cstheme="minorHAnsi"/>
                <w:lang w:eastAsia="en-US"/>
              </w:rPr>
              <w:lastRenderedPageBreak/>
              <w:t xml:space="preserve">według poszczególnych modeli dystrybucji środków w ramach PSF (po </w:t>
            </w:r>
            <w:r w:rsidR="009E0977" w:rsidRPr="00FE708B">
              <w:rPr>
                <w:rFonts w:asciiTheme="minorHAnsi" w:eastAsiaTheme="minorHAnsi" w:hAnsiTheme="minorHAnsi" w:cstheme="minorHAnsi"/>
                <w:lang w:eastAsia="en-US"/>
              </w:rPr>
              <w:t>3</w:t>
            </w:r>
            <w:r w:rsidRPr="00FE708B">
              <w:rPr>
                <w:rFonts w:asciiTheme="minorHAnsi" w:eastAsiaTheme="minorHAnsi" w:hAnsiTheme="minorHAnsi" w:cstheme="minorHAnsi"/>
                <w:lang w:eastAsia="en-US"/>
              </w:rPr>
              <w:t xml:space="preserve"> wywiady na model).</w:t>
            </w:r>
          </w:p>
        </w:tc>
      </w:tr>
    </w:tbl>
    <w:p w14:paraId="5FBC7ECE" w14:textId="77777777" w:rsidR="006E559B" w:rsidRPr="00FE708B" w:rsidRDefault="007701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Łącznie w tej części badania zostanie przeprowadzonych </w:t>
      </w:r>
      <w:r w:rsidR="009E0977" w:rsidRPr="00FE708B">
        <w:rPr>
          <w:rFonts w:asciiTheme="minorHAnsi" w:eastAsiaTheme="minorHAnsi" w:hAnsiTheme="minorHAnsi" w:cstheme="minorHAnsi"/>
          <w:lang w:eastAsia="en-US"/>
        </w:rPr>
        <w:t>4</w:t>
      </w:r>
      <w:r w:rsidR="00985111" w:rsidRPr="00FE708B">
        <w:rPr>
          <w:rFonts w:asciiTheme="minorHAnsi" w:eastAsiaTheme="minorHAnsi" w:hAnsiTheme="minorHAnsi" w:cstheme="minorHAnsi"/>
          <w:lang w:eastAsia="en-US"/>
        </w:rPr>
        <w:t>2</w:t>
      </w:r>
      <w:r w:rsidRPr="00FE708B">
        <w:rPr>
          <w:rFonts w:asciiTheme="minorHAnsi" w:eastAsiaTheme="minorHAnsi" w:hAnsiTheme="minorHAnsi" w:cstheme="minorHAnsi"/>
          <w:lang w:eastAsia="en-US"/>
        </w:rPr>
        <w:t xml:space="preserve"> wywiad</w:t>
      </w:r>
      <w:r w:rsidR="00985111" w:rsidRPr="00FE708B">
        <w:rPr>
          <w:rFonts w:asciiTheme="minorHAnsi" w:eastAsiaTheme="minorHAnsi" w:hAnsiTheme="minorHAnsi" w:cstheme="minorHAnsi"/>
          <w:lang w:eastAsia="en-US"/>
        </w:rPr>
        <w:t>y</w:t>
      </w:r>
      <w:r w:rsidRPr="00FE708B">
        <w:rPr>
          <w:rFonts w:asciiTheme="minorHAnsi" w:eastAsiaTheme="minorHAnsi" w:hAnsiTheme="minorHAnsi" w:cstheme="minorHAnsi"/>
          <w:lang w:eastAsia="en-US"/>
        </w:rPr>
        <w:t xml:space="preserve">. </w:t>
      </w:r>
    </w:p>
    <w:p w14:paraId="5D5990A8" w14:textId="77777777" w:rsidR="00834910" w:rsidRPr="00FE708B" w:rsidRDefault="00834910" w:rsidP="001B56C4">
      <w:pPr>
        <w:pStyle w:val="N3"/>
        <w:rPr>
          <w:rFonts w:asciiTheme="minorHAnsi" w:hAnsiTheme="minorHAnsi" w:cstheme="minorHAnsi"/>
        </w:rPr>
      </w:pPr>
      <w:bookmarkStart w:id="9" w:name="_Toc8896930"/>
      <w:r w:rsidRPr="00FE708B">
        <w:rPr>
          <w:rFonts w:asciiTheme="minorHAnsi" w:hAnsiTheme="minorHAnsi" w:cstheme="minorHAnsi"/>
        </w:rPr>
        <w:t xml:space="preserve">Część wstępna – </w:t>
      </w:r>
      <w:r w:rsidR="005A11B6" w:rsidRPr="00FE708B">
        <w:rPr>
          <w:rFonts w:asciiTheme="minorHAnsi" w:hAnsiTheme="minorHAnsi" w:cstheme="minorHAnsi"/>
        </w:rPr>
        <w:t>produkty</w:t>
      </w:r>
      <w:bookmarkEnd w:id="9"/>
      <w:r w:rsidRPr="00FE708B">
        <w:rPr>
          <w:rFonts w:asciiTheme="minorHAnsi" w:hAnsiTheme="minorHAnsi" w:cstheme="minorHAnsi"/>
        </w:rPr>
        <w:t xml:space="preserve"> </w:t>
      </w:r>
    </w:p>
    <w:p w14:paraId="500F657B" w14:textId="77777777" w:rsidR="005A11B6" w:rsidRPr="00FE708B" w:rsidRDefault="005A11B6" w:rsidP="009B4369">
      <w:pPr>
        <w:pStyle w:val="NormalnyWeb"/>
        <w:numPr>
          <w:ilvl w:val="0"/>
          <w:numId w:val="12"/>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Wstępny raport metodologiczny</w:t>
      </w:r>
    </w:p>
    <w:p w14:paraId="79B50176" w14:textId="77777777" w:rsidR="005A11B6" w:rsidRPr="00FE708B" w:rsidRDefault="005A11B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Przed przystąpieniem do badań jakościowych części wstępnej Wykonawca przygotuje wstępny raport metodologiczny, w którym znajdą się następujące elementy:</w:t>
      </w:r>
    </w:p>
    <w:p w14:paraId="30060DA5"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 xml:space="preserve">Kontekst i cele badania. </w:t>
      </w:r>
    </w:p>
    <w:p w14:paraId="73463D7E"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Rozdział przedstawiający koncepcję całego badania</w:t>
      </w:r>
      <w:r w:rsidR="00063ED4" w:rsidRPr="00FE708B">
        <w:rPr>
          <w:rFonts w:asciiTheme="minorHAnsi" w:hAnsiTheme="minorHAnsi" w:cstheme="minorHAnsi"/>
          <w:sz w:val="24"/>
          <w:szCs w:val="24"/>
        </w:rPr>
        <w:t>,</w:t>
      </w:r>
      <w:r w:rsidRPr="00FE708B">
        <w:rPr>
          <w:rFonts w:asciiTheme="minorHAnsi" w:hAnsiTheme="minorHAnsi" w:cstheme="minorHAnsi"/>
          <w:sz w:val="24"/>
          <w:szCs w:val="24"/>
        </w:rPr>
        <w:t xml:space="preserve"> uwzględniający efekt synergii poszczególnych metod badawczych.</w:t>
      </w:r>
    </w:p>
    <w:p w14:paraId="68B200B5"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 xml:space="preserve">Wnioski z </w:t>
      </w:r>
      <w:r w:rsidR="0018102E" w:rsidRPr="00FE708B">
        <w:rPr>
          <w:rFonts w:asciiTheme="minorHAnsi" w:hAnsiTheme="minorHAnsi" w:cstheme="minorHAnsi"/>
          <w:sz w:val="24"/>
          <w:szCs w:val="24"/>
        </w:rPr>
        <w:t xml:space="preserve">wstępnej </w:t>
      </w:r>
      <w:r w:rsidRPr="00FE708B">
        <w:rPr>
          <w:rFonts w:asciiTheme="minorHAnsi" w:hAnsiTheme="minorHAnsi" w:cstheme="minorHAnsi"/>
          <w:sz w:val="24"/>
          <w:szCs w:val="24"/>
        </w:rPr>
        <w:t>analizy danych zastanych, w tym analizy bazy danych BUR</w:t>
      </w:r>
      <w:r w:rsidR="00AD40B6" w:rsidRPr="00FE708B">
        <w:rPr>
          <w:rFonts w:asciiTheme="minorHAnsi" w:hAnsiTheme="minorHAnsi" w:cstheme="minorHAnsi"/>
          <w:sz w:val="24"/>
          <w:szCs w:val="24"/>
        </w:rPr>
        <w:t>.</w:t>
      </w:r>
    </w:p>
    <w:p w14:paraId="0FD21C5D"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Propozycja narzędzi badawczych do badań jakościowych części wstępnej</w:t>
      </w:r>
      <w:r w:rsidR="00AD40B6" w:rsidRPr="00FE708B">
        <w:rPr>
          <w:rFonts w:asciiTheme="minorHAnsi" w:hAnsiTheme="minorHAnsi" w:cstheme="minorHAnsi"/>
          <w:sz w:val="24"/>
          <w:szCs w:val="24"/>
        </w:rPr>
        <w:t>.</w:t>
      </w:r>
    </w:p>
    <w:p w14:paraId="0A96D1E3"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Propozycja doboru próby do badań ilościowych</w:t>
      </w:r>
      <w:r w:rsidR="0095347E" w:rsidRPr="00FE708B">
        <w:rPr>
          <w:rFonts w:asciiTheme="minorHAnsi" w:hAnsiTheme="minorHAnsi" w:cstheme="minorHAnsi"/>
          <w:sz w:val="24"/>
          <w:szCs w:val="24"/>
        </w:rPr>
        <w:t xml:space="preserve"> wraz z opisem sposobu ważenia danych.</w:t>
      </w:r>
    </w:p>
    <w:p w14:paraId="56FEAA7C"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 xml:space="preserve">Propozycja doboru próby do badań </w:t>
      </w:r>
      <w:r w:rsidR="000C1862" w:rsidRPr="00FE708B">
        <w:rPr>
          <w:rFonts w:asciiTheme="minorHAnsi" w:hAnsiTheme="minorHAnsi" w:cstheme="minorHAnsi"/>
          <w:sz w:val="24"/>
          <w:szCs w:val="24"/>
        </w:rPr>
        <w:t>jakościowych</w:t>
      </w:r>
      <w:r w:rsidR="00AD40B6" w:rsidRPr="00FE708B">
        <w:rPr>
          <w:rFonts w:asciiTheme="minorHAnsi" w:hAnsiTheme="minorHAnsi" w:cstheme="minorHAnsi"/>
          <w:sz w:val="24"/>
          <w:szCs w:val="24"/>
        </w:rPr>
        <w:t>.</w:t>
      </w:r>
    </w:p>
    <w:p w14:paraId="02DF39A8" w14:textId="77777777" w:rsidR="005A11B6" w:rsidRPr="00FE708B" w:rsidRDefault="005A11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Propozycj</w:t>
      </w:r>
      <w:r w:rsidR="00063ED4" w:rsidRPr="00FE708B">
        <w:rPr>
          <w:rFonts w:asciiTheme="minorHAnsi" w:hAnsiTheme="minorHAnsi" w:cstheme="minorHAnsi"/>
          <w:sz w:val="24"/>
          <w:szCs w:val="24"/>
        </w:rPr>
        <w:t>a</w:t>
      </w:r>
      <w:r w:rsidRPr="00FE708B">
        <w:rPr>
          <w:rFonts w:asciiTheme="minorHAnsi" w:hAnsiTheme="minorHAnsi" w:cstheme="minorHAnsi"/>
          <w:sz w:val="24"/>
          <w:szCs w:val="24"/>
        </w:rPr>
        <w:t xml:space="preserve"> struktury raportu końcowego.</w:t>
      </w:r>
    </w:p>
    <w:p w14:paraId="48B39701" w14:textId="77777777" w:rsidR="00AD40B6" w:rsidRPr="00FE708B" w:rsidRDefault="00AD40B6" w:rsidP="009B4369">
      <w:pPr>
        <w:pStyle w:val="Akapitzlist"/>
        <w:numPr>
          <w:ilvl w:val="0"/>
          <w:numId w:val="13"/>
        </w:numPr>
        <w:spacing w:before="120" w:after="120" w:line="360" w:lineRule="auto"/>
        <w:rPr>
          <w:rFonts w:asciiTheme="minorHAnsi" w:hAnsiTheme="minorHAnsi" w:cstheme="minorHAnsi"/>
          <w:sz w:val="24"/>
          <w:szCs w:val="24"/>
        </w:rPr>
      </w:pPr>
      <w:r w:rsidRPr="00FE708B">
        <w:rPr>
          <w:rFonts w:asciiTheme="minorHAnsi" w:hAnsiTheme="minorHAnsi" w:cstheme="minorHAnsi"/>
          <w:sz w:val="24"/>
          <w:szCs w:val="24"/>
        </w:rPr>
        <w:t>Szczegółowy harmonogram badania.</w:t>
      </w:r>
    </w:p>
    <w:p w14:paraId="2CB4EB51" w14:textId="77777777" w:rsidR="005A11B6" w:rsidRPr="00FE708B" w:rsidRDefault="005A11B6" w:rsidP="009B4369">
      <w:pPr>
        <w:pStyle w:val="NormalnyWeb"/>
        <w:numPr>
          <w:ilvl w:val="0"/>
          <w:numId w:val="12"/>
        </w:numPr>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Ostateczny raport metodologiczny</w:t>
      </w:r>
    </w:p>
    <w:p w14:paraId="33B446C3" w14:textId="77777777" w:rsidR="005A11B6" w:rsidRPr="00FE708B" w:rsidRDefault="005A11B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 zakończeniu badań jakościowych części wstępnej i analizie zgromadzonego materiału badawczego Wykonawca dokona uzupełnienia i aktualizacji raportu metodologicznego. Raport powinien zostać uzupełniony o następujące elementy:</w:t>
      </w:r>
    </w:p>
    <w:p w14:paraId="260B737E" w14:textId="77777777" w:rsidR="005A11B6" w:rsidRPr="00FE708B" w:rsidRDefault="005A11B6" w:rsidP="009B4369">
      <w:pPr>
        <w:pStyle w:val="NormalnyWeb"/>
        <w:numPr>
          <w:ilvl w:val="0"/>
          <w:numId w:val="14"/>
        </w:numPr>
        <w:shd w:val="clear" w:color="auto" w:fill="FFFFFF"/>
        <w:spacing w:before="120" w:after="120" w:line="360" w:lineRule="auto"/>
        <w:ind w:left="1843"/>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Propozycja narzędzi badawczych do badania ilościowego</w:t>
      </w:r>
    </w:p>
    <w:p w14:paraId="205A7BA5" w14:textId="77777777" w:rsidR="005A11B6" w:rsidRPr="00FE708B" w:rsidRDefault="005A11B6" w:rsidP="009B4369">
      <w:pPr>
        <w:pStyle w:val="NormalnyWeb"/>
        <w:numPr>
          <w:ilvl w:val="0"/>
          <w:numId w:val="14"/>
        </w:numPr>
        <w:shd w:val="clear" w:color="auto" w:fill="FFFFFF"/>
        <w:spacing w:before="120" w:after="120" w:line="360" w:lineRule="auto"/>
        <w:ind w:left="1843"/>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Opis </w:t>
      </w:r>
      <w:r w:rsidR="00AD40B6" w:rsidRPr="00FE708B">
        <w:rPr>
          <w:rFonts w:asciiTheme="minorHAnsi" w:eastAsiaTheme="minorHAnsi" w:hAnsiTheme="minorHAnsi" w:cstheme="minorHAnsi"/>
          <w:lang w:eastAsia="en-US"/>
        </w:rPr>
        <w:t xml:space="preserve">zjawisk/zagadnień, jakie powinny być analizowane w ramach poszczególnych pytań badawczych (np. w formie hipotez, które można </w:t>
      </w:r>
      <w:r w:rsidR="00AD40B6" w:rsidRPr="00FE708B">
        <w:rPr>
          <w:rFonts w:asciiTheme="minorHAnsi" w:eastAsiaTheme="minorHAnsi" w:hAnsiTheme="minorHAnsi" w:cstheme="minorHAnsi"/>
          <w:lang w:eastAsia="en-US"/>
        </w:rPr>
        <w:lastRenderedPageBreak/>
        <w:t>stworzyć na podstawie wyników badania jakościowego części wstępnej</w:t>
      </w:r>
      <w:r w:rsidR="00163E4D" w:rsidRPr="00FE708B">
        <w:rPr>
          <w:rFonts w:asciiTheme="minorHAnsi" w:eastAsiaTheme="minorHAnsi" w:hAnsiTheme="minorHAnsi" w:cstheme="minorHAnsi"/>
          <w:lang w:eastAsia="en-US"/>
        </w:rPr>
        <w:t xml:space="preserve"> oraz </w:t>
      </w:r>
      <w:r w:rsidR="0018102E" w:rsidRPr="00FE708B">
        <w:rPr>
          <w:rFonts w:asciiTheme="minorHAnsi" w:eastAsiaTheme="minorHAnsi" w:hAnsiTheme="minorHAnsi" w:cstheme="minorHAnsi"/>
          <w:lang w:eastAsia="en-US"/>
        </w:rPr>
        <w:t xml:space="preserve">wstępnej </w:t>
      </w:r>
      <w:r w:rsidR="00163E4D" w:rsidRPr="00FE708B">
        <w:rPr>
          <w:rFonts w:asciiTheme="minorHAnsi" w:eastAsiaTheme="minorHAnsi" w:hAnsiTheme="minorHAnsi" w:cstheme="minorHAnsi"/>
          <w:lang w:eastAsia="en-US"/>
        </w:rPr>
        <w:t>analizy danych zastanych</w:t>
      </w:r>
      <w:r w:rsidR="00AD40B6" w:rsidRPr="00FE708B">
        <w:rPr>
          <w:rFonts w:asciiTheme="minorHAnsi" w:eastAsiaTheme="minorHAnsi" w:hAnsiTheme="minorHAnsi" w:cstheme="minorHAnsi"/>
          <w:lang w:eastAsia="en-US"/>
        </w:rPr>
        <w:t>)</w:t>
      </w:r>
      <w:r w:rsidR="00163E4D" w:rsidRPr="00FE708B">
        <w:rPr>
          <w:rFonts w:asciiTheme="minorHAnsi" w:eastAsiaTheme="minorHAnsi" w:hAnsiTheme="minorHAnsi" w:cstheme="minorHAnsi"/>
          <w:lang w:eastAsia="en-US"/>
        </w:rPr>
        <w:t>.</w:t>
      </w:r>
    </w:p>
    <w:p w14:paraId="4A463EBC" w14:textId="77777777" w:rsidR="00F2662C" w:rsidRPr="00FE708B" w:rsidRDefault="00AD40B6" w:rsidP="009B4369">
      <w:pPr>
        <w:pStyle w:val="NormalnyWeb"/>
        <w:numPr>
          <w:ilvl w:val="0"/>
          <w:numId w:val="14"/>
        </w:numPr>
        <w:shd w:val="clear" w:color="auto" w:fill="FFFFFF"/>
        <w:spacing w:before="120" w:after="120" w:line="360" w:lineRule="auto"/>
        <w:ind w:left="1843"/>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Opis </w:t>
      </w:r>
      <w:r w:rsidR="00B530EE" w:rsidRPr="00FE708B">
        <w:rPr>
          <w:rFonts w:asciiTheme="minorHAnsi" w:eastAsiaTheme="minorHAnsi" w:hAnsiTheme="minorHAnsi" w:cstheme="minorHAnsi"/>
          <w:lang w:eastAsia="en-US"/>
        </w:rPr>
        <w:t xml:space="preserve">planowanych </w:t>
      </w:r>
      <w:r w:rsidRPr="00FE708B">
        <w:rPr>
          <w:rFonts w:asciiTheme="minorHAnsi" w:eastAsiaTheme="minorHAnsi" w:hAnsiTheme="minorHAnsi" w:cstheme="minorHAnsi"/>
          <w:lang w:eastAsia="en-US"/>
        </w:rPr>
        <w:t>przez Wykonawcę analiz statystycznych (opis ten powinien zostać sporządzony w oparciu o przygotowane przez Wykonawcę narzędzia do badania ilościowego, tj. odnosić się do konkretnych pytań, określać zakres zmiennych niezależnych, zmiennych, które Wykonawca planuje wykorzystać np. w analizach wielozmiennowych, itp.)</w:t>
      </w:r>
      <w:r w:rsidR="00163E4D" w:rsidRPr="00FE708B">
        <w:rPr>
          <w:rFonts w:asciiTheme="minorHAnsi" w:eastAsiaTheme="minorHAnsi" w:hAnsiTheme="minorHAnsi" w:cstheme="minorHAnsi"/>
          <w:lang w:eastAsia="en-US"/>
        </w:rPr>
        <w:t>.</w:t>
      </w:r>
    </w:p>
    <w:p w14:paraId="03E18B51" w14:textId="77777777" w:rsidR="00AD40B6" w:rsidRPr="00FE708B" w:rsidRDefault="00F2662C" w:rsidP="009B4369">
      <w:pPr>
        <w:pStyle w:val="NormalnyWeb"/>
        <w:numPr>
          <w:ilvl w:val="0"/>
          <w:numId w:val="14"/>
        </w:numPr>
        <w:shd w:val="clear" w:color="auto" w:fill="FFFFFF"/>
        <w:spacing w:before="120" w:after="120" w:line="360" w:lineRule="auto"/>
        <w:ind w:left="1843"/>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Lista dodatkowych źródeł (dokumentów), które powinny zostać wykorzystane w badaniu. </w:t>
      </w:r>
      <w:r w:rsidR="00AD40B6" w:rsidRPr="00FE708B">
        <w:rPr>
          <w:rFonts w:asciiTheme="minorHAnsi" w:eastAsiaTheme="minorHAnsi" w:hAnsiTheme="minorHAnsi" w:cstheme="minorHAnsi"/>
          <w:lang w:eastAsia="en-US"/>
        </w:rPr>
        <w:t xml:space="preserve">  </w:t>
      </w:r>
    </w:p>
    <w:p w14:paraId="7EAA4DCE" w14:textId="77777777" w:rsidR="00834910" w:rsidRPr="003B4282" w:rsidRDefault="00AD40B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Ponadto, w zależności o</w:t>
      </w:r>
      <w:r w:rsidR="00EF3FFD" w:rsidRPr="00FE708B">
        <w:rPr>
          <w:rFonts w:asciiTheme="minorHAnsi" w:eastAsiaTheme="minorHAnsi" w:hAnsiTheme="minorHAnsi" w:cstheme="minorHAnsi"/>
          <w:lang w:eastAsia="en-US"/>
        </w:rPr>
        <w:t>d</w:t>
      </w:r>
      <w:r w:rsidRPr="00FE708B">
        <w:rPr>
          <w:rFonts w:asciiTheme="minorHAnsi" w:eastAsiaTheme="minorHAnsi" w:hAnsiTheme="minorHAnsi" w:cstheme="minorHAnsi"/>
          <w:lang w:eastAsia="en-US"/>
        </w:rPr>
        <w:t xml:space="preserve"> wyników badania jakościowego części wstępnej</w:t>
      </w:r>
      <w:r w:rsidR="00063ED4"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Wykonawca może dokonać aktualizacji poszczególnych elementów wstępnego raportu metodologicznego, np. dokonać zmiany sposobu doboru próby do badania ilościowego lub jakościowego</w:t>
      </w:r>
      <w:r w:rsidR="00B530EE" w:rsidRPr="00FE708B">
        <w:rPr>
          <w:rFonts w:asciiTheme="minorHAnsi" w:eastAsiaTheme="minorHAnsi" w:hAnsiTheme="minorHAnsi" w:cstheme="minorHAnsi"/>
          <w:lang w:eastAsia="en-US"/>
        </w:rPr>
        <w:t xml:space="preserve"> (w tym ewentualnej propozycji realokacji wywiadów zaplanowanych na </w:t>
      </w:r>
      <w:r w:rsidR="00B530EE" w:rsidRPr="003B4282">
        <w:rPr>
          <w:rFonts w:asciiTheme="minorHAnsi" w:eastAsiaTheme="minorHAnsi" w:hAnsiTheme="minorHAnsi" w:cstheme="minorHAnsi"/>
          <w:lang w:eastAsia="en-US"/>
        </w:rPr>
        <w:t>poszczególne grupy respondentów)</w:t>
      </w:r>
      <w:r w:rsidRPr="003B4282">
        <w:rPr>
          <w:rFonts w:asciiTheme="minorHAnsi" w:eastAsiaTheme="minorHAnsi" w:hAnsiTheme="minorHAnsi" w:cstheme="minorHAnsi"/>
          <w:lang w:eastAsia="en-US"/>
        </w:rPr>
        <w:t xml:space="preserve">, </w:t>
      </w:r>
      <w:r w:rsidR="003F02CE" w:rsidRPr="003B4282">
        <w:rPr>
          <w:rFonts w:asciiTheme="minorHAnsi" w:eastAsiaTheme="minorHAnsi" w:hAnsiTheme="minorHAnsi" w:cstheme="minorHAnsi"/>
          <w:lang w:eastAsia="en-US"/>
        </w:rPr>
        <w:t>zmian w scenariuszach do badań jakościowych</w:t>
      </w:r>
      <w:r w:rsidR="00985111" w:rsidRPr="003B4282">
        <w:rPr>
          <w:rFonts w:asciiTheme="minorHAnsi" w:eastAsiaTheme="minorHAnsi" w:hAnsiTheme="minorHAnsi" w:cstheme="minorHAnsi"/>
          <w:lang w:eastAsia="en-US"/>
        </w:rPr>
        <w:t xml:space="preserve"> (części właściwej badania)</w:t>
      </w:r>
      <w:r w:rsidR="003F02CE" w:rsidRPr="003B4282">
        <w:rPr>
          <w:rStyle w:val="Odwoanieprzypisudolnego"/>
          <w:rFonts w:asciiTheme="minorHAnsi" w:eastAsiaTheme="minorHAnsi" w:hAnsiTheme="minorHAnsi" w:cstheme="minorHAnsi"/>
          <w:lang w:eastAsia="en-US"/>
        </w:rPr>
        <w:footnoteReference w:id="18"/>
      </w:r>
      <w:r w:rsidR="003F02CE" w:rsidRPr="003B4282">
        <w:rPr>
          <w:rFonts w:asciiTheme="minorHAnsi" w:eastAsiaTheme="minorHAnsi" w:hAnsiTheme="minorHAnsi" w:cstheme="minorHAnsi"/>
          <w:lang w:eastAsia="en-US"/>
        </w:rPr>
        <w:t xml:space="preserve">, </w:t>
      </w:r>
      <w:r w:rsidRPr="003B4282">
        <w:rPr>
          <w:rFonts w:asciiTheme="minorHAnsi" w:eastAsiaTheme="minorHAnsi" w:hAnsiTheme="minorHAnsi" w:cstheme="minorHAnsi"/>
          <w:lang w:eastAsia="en-US"/>
        </w:rPr>
        <w:t>zmiany struktury raportu końcowego, szczegółowego harmonogramu badania (</w:t>
      </w:r>
      <w:r w:rsidR="004D2E91" w:rsidRPr="003B4282">
        <w:rPr>
          <w:rFonts w:asciiTheme="minorHAnsi" w:eastAsiaTheme="minorHAnsi" w:hAnsiTheme="minorHAnsi" w:cstheme="minorHAnsi"/>
          <w:lang w:eastAsia="en-US"/>
        </w:rPr>
        <w:t xml:space="preserve">zmiany te </w:t>
      </w:r>
      <w:r w:rsidRPr="003B4282">
        <w:rPr>
          <w:rFonts w:asciiTheme="minorHAnsi" w:eastAsiaTheme="minorHAnsi" w:hAnsiTheme="minorHAnsi" w:cstheme="minorHAnsi"/>
          <w:lang w:eastAsia="en-US"/>
        </w:rPr>
        <w:t xml:space="preserve">nie mogą jednak </w:t>
      </w:r>
      <w:r w:rsidR="004D2E91" w:rsidRPr="003B4282">
        <w:rPr>
          <w:rFonts w:asciiTheme="minorHAnsi" w:eastAsiaTheme="minorHAnsi" w:hAnsiTheme="minorHAnsi" w:cstheme="minorHAnsi"/>
          <w:lang w:eastAsia="en-US"/>
        </w:rPr>
        <w:t>wpłynąć na</w:t>
      </w:r>
      <w:r w:rsidR="00704ED3" w:rsidRPr="003B4282">
        <w:rPr>
          <w:rFonts w:asciiTheme="minorHAnsi" w:eastAsiaTheme="minorHAnsi" w:hAnsiTheme="minorHAnsi" w:cstheme="minorHAnsi"/>
          <w:lang w:eastAsia="en-US"/>
        </w:rPr>
        <w:t xml:space="preserve"> terminy kamieni milowych</w:t>
      </w:r>
      <w:r w:rsidR="003F02CE" w:rsidRPr="003B4282">
        <w:rPr>
          <w:rFonts w:asciiTheme="minorHAnsi" w:eastAsiaTheme="minorHAnsi" w:hAnsiTheme="minorHAnsi" w:cstheme="minorHAnsi"/>
          <w:lang w:eastAsia="en-US"/>
        </w:rPr>
        <w:t>, o których mowa w rozdziale 6</w:t>
      </w:r>
      <w:r w:rsidRPr="003B4282">
        <w:rPr>
          <w:rFonts w:asciiTheme="minorHAnsi" w:eastAsiaTheme="minorHAnsi" w:hAnsiTheme="minorHAnsi" w:cstheme="minorHAnsi"/>
          <w:lang w:eastAsia="en-US"/>
        </w:rPr>
        <w:t xml:space="preserve">). </w:t>
      </w:r>
    </w:p>
    <w:p w14:paraId="6677DE8E" w14:textId="77777777" w:rsidR="00AD40B6" w:rsidRPr="00FE708B" w:rsidRDefault="00AD40B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3B4282">
        <w:rPr>
          <w:rFonts w:asciiTheme="minorHAnsi" w:eastAsiaTheme="minorHAnsi" w:hAnsiTheme="minorHAnsi" w:cstheme="minorHAnsi"/>
          <w:lang w:eastAsia="en-US"/>
        </w:rPr>
        <w:t>Wszystkie zmiany (aktualizacje) zaproponowane przez Wykonawcę będą wymagały</w:t>
      </w:r>
      <w:r w:rsidRPr="00FE708B">
        <w:rPr>
          <w:rFonts w:asciiTheme="minorHAnsi" w:eastAsiaTheme="minorHAnsi" w:hAnsiTheme="minorHAnsi" w:cstheme="minorHAnsi"/>
          <w:lang w:eastAsia="en-US"/>
        </w:rPr>
        <w:t xml:space="preserve"> akceptacji ze strony Zamawiającego. </w:t>
      </w:r>
    </w:p>
    <w:p w14:paraId="1FA1DE35" w14:textId="77777777" w:rsidR="00AD40B6" w:rsidRPr="00FE708B" w:rsidRDefault="00F266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Po akceptacji ostatecznego raportu metodologicznego Wykonawca będzie mógł przystąpić do realizacji części właściwej badania. </w:t>
      </w:r>
    </w:p>
    <w:p w14:paraId="1FD64AF5" w14:textId="77777777" w:rsidR="00AD40B6" w:rsidRPr="00FE708B" w:rsidRDefault="007701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Raporty zostaną przygotowane w wersji elektronicznej (.doc lub równoważny). </w:t>
      </w:r>
    </w:p>
    <w:p w14:paraId="7B065937" w14:textId="040F935F" w:rsidR="006E559B" w:rsidRPr="00FE708B" w:rsidRDefault="006E559B"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W uzasadnionych przypadkach Zamawiający dopuszcza możliwość przygotowania ostatecznego raportu metodologicznego bez konieczności realizacji wszystkich wywiadów jakościowych przewidywanych w części wstępnej badania. Niemniej skorzystanie </w:t>
      </w:r>
      <w:r w:rsidR="00D74067">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z możliwości, o której mowa </w:t>
      </w:r>
      <w:r w:rsidR="00B505F5" w:rsidRPr="00FE708B">
        <w:rPr>
          <w:rFonts w:asciiTheme="minorHAnsi" w:eastAsiaTheme="minorHAnsi" w:hAnsiTheme="minorHAnsi" w:cstheme="minorHAnsi"/>
          <w:lang w:eastAsia="en-US"/>
        </w:rPr>
        <w:t>musi zostać poprzedzone złożeniem przez Wykonawc</w:t>
      </w:r>
      <w:r w:rsidR="00EF3FFD" w:rsidRPr="00FE708B">
        <w:rPr>
          <w:rFonts w:asciiTheme="minorHAnsi" w:eastAsiaTheme="minorHAnsi" w:hAnsiTheme="minorHAnsi" w:cstheme="minorHAnsi"/>
          <w:lang w:eastAsia="en-US"/>
        </w:rPr>
        <w:t>ę</w:t>
      </w:r>
      <w:r w:rsidR="00B505F5" w:rsidRPr="00FE708B">
        <w:rPr>
          <w:rFonts w:asciiTheme="minorHAnsi" w:eastAsiaTheme="minorHAnsi" w:hAnsiTheme="minorHAnsi" w:cstheme="minorHAnsi"/>
          <w:lang w:eastAsia="en-US"/>
        </w:rPr>
        <w:t xml:space="preserve"> stosowanego wniosku wraz z uzasadnieniem i będzie wymagało ostatecznej zgody ze strony Zamawiającego. </w:t>
      </w:r>
    </w:p>
    <w:p w14:paraId="3D99865F" w14:textId="77777777" w:rsidR="00B505F5" w:rsidRPr="00FE708B" w:rsidRDefault="00B505F5"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W sytuacji, w której ostateczny raport metodologiczny został opracowany przed zakończeniem realizacji spodziewanej liczby wywiadów części wstępnej badania</w:t>
      </w:r>
      <w:r w:rsidR="00704ED3"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wywiady niezrealizowane zostaną przeniesione do części właściwej badania (Wykonawca zwiększy liczebność w odpowiednich grupach). </w:t>
      </w:r>
      <w:r w:rsidR="00704ED3" w:rsidRPr="00FE708B">
        <w:rPr>
          <w:rFonts w:asciiTheme="minorHAnsi" w:eastAsiaTheme="minorHAnsi" w:hAnsiTheme="minorHAnsi" w:cstheme="minorHAnsi"/>
          <w:lang w:eastAsia="en-US"/>
        </w:rPr>
        <w:t>O</w:t>
      </w:r>
      <w:r w:rsidRPr="00FE708B">
        <w:rPr>
          <w:rFonts w:asciiTheme="minorHAnsi" w:eastAsiaTheme="minorHAnsi" w:hAnsiTheme="minorHAnsi" w:cstheme="minorHAnsi"/>
          <w:lang w:eastAsia="en-US"/>
        </w:rPr>
        <w:t>pracowanie ostatecznego raportu metodologicznego musi być jednak poprzedzone realizacją wszystkich wywiadów z przedstawicielami: IZ POWER, PARP oraz przynajmniej połową wywiadów z osobami reprezentującymi pozostałe grupy respondentów</w:t>
      </w:r>
      <w:r w:rsidR="004D2E91" w:rsidRPr="00FE708B">
        <w:rPr>
          <w:rFonts w:asciiTheme="minorHAnsi" w:eastAsiaTheme="minorHAnsi" w:hAnsiTheme="minorHAnsi" w:cstheme="minorHAnsi"/>
          <w:lang w:eastAsia="en-US"/>
        </w:rPr>
        <w:t xml:space="preserve"> (tzn. </w:t>
      </w:r>
      <w:r w:rsidR="0085745D" w:rsidRPr="00FE708B">
        <w:rPr>
          <w:rFonts w:asciiTheme="minorHAnsi" w:eastAsiaTheme="minorHAnsi" w:hAnsiTheme="minorHAnsi" w:cstheme="minorHAnsi"/>
          <w:lang w:eastAsia="en-US"/>
        </w:rPr>
        <w:t>w</w:t>
      </w:r>
      <w:r w:rsidRPr="00FE708B">
        <w:rPr>
          <w:rFonts w:asciiTheme="minorHAnsi" w:eastAsiaTheme="minorHAnsi" w:hAnsiTheme="minorHAnsi" w:cstheme="minorHAnsi"/>
          <w:lang w:eastAsia="en-US"/>
        </w:rPr>
        <w:t xml:space="preserve"> </w:t>
      </w:r>
      <w:r w:rsidR="004D2E91" w:rsidRPr="00FE708B">
        <w:rPr>
          <w:rFonts w:asciiTheme="minorHAnsi" w:eastAsiaTheme="minorHAnsi" w:hAnsiTheme="minorHAnsi" w:cstheme="minorHAnsi"/>
          <w:lang w:eastAsia="en-US"/>
        </w:rPr>
        <w:t xml:space="preserve">każdej grupie respondentów powinna być przeprowadzona </w:t>
      </w:r>
      <w:r w:rsidR="0085745D" w:rsidRPr="00FE708B">
        <w:rPr>
          <w:rFonts w:asciiTheme="minorHAnsi" w:eastAsiaTheme="minorHAnsi" w:hAnsiTheme="minorHAnsi" w:cstheme="minorHAnsi"/>
          <w:lang w:eastAsia="en-US"/>
        </w:rPr>
        <w:t xml:space="preserve">co najmniej </w:t>
      </w:r>
      <w:r w:rsidR="004D2E91" w:rsidRPr="00FE708B">
        <w:rPr>
          <w:rFonts w:asciiTheme="minorHAnsi" w:eastAsiaTheme="minorHAnsi" w:hAnsiTheme="minorHAnsi" w:cstheme="minorHAnsi"/>
          <w:lang w:eastAsia="en-US"/>
        </w:rPr>
        <w:t xml:space="preserve">połowa wywiadów). </w:t>
      </w:r>
    </w:p>
    <w:p w14:paraId="45C4B9DC" w14:textId="77777777" w:rsidR="00AE2DD1" w:rsidRPr="00FE708B" w:rsidRDefault="00AE2DD1" w:rsidP="001B56C4">
      <w:pPr>
        <w:pStyle w:val="N2"/>
        <w:rPr>
          <w:rFonts w:asciiTheme="minorHAnsi" w:hAnsiTheme="minorHAnsi" w:cstheme="minorHAnsi"/>
        </w:rPr>
      </w:pPr>
      <w:bookmarkStart w:id="10" w:name="_Toc8896931"/>
      <w:r w:rsidRPr="00FE708B">
        <w:rPr>
          <w:rFonts w:asciiTheme="minorHAnsi" w:hAnsiTheme="minorHAnsi" w:cstheme="minorHAnsi"/>
        </w:rPr>
        <w:t>Cześć właściwa</w:t>
      </w:r>
      <w:bookmarkEnd w:id="10"/>
    </w:p>
    <w:p w14:paraId="271B147A" w14:textId="77777777" w:rsidR="00F2662C" w:rsidRPr="00FE708B" w:rsidRDefault="00F266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Część właściwa badania będzie się składała z dwóch komponentów: 1) ilościowego oraz 2) jakościowego. Badania te mogą być prowadzone przez Wykonawcę równocześnie. </w:t>
      </w:r>
    </w:p>
    <w:p w14:paraId="54ED40D8" w14:textId="77777777" w:rsidR="00F2662C" w:rsidRPr="00FE708B" w:rsidRDefault="00F2662C" w:rsidP="001B56C4">
      <w:pPr>
        <w:pStyle w:val="N3"/>
        <w:rPr>
          <w:rFonts w:asciiTheme="minorHAnsi" w:hAnsiTheme="minorHAnsi" w:cstheme="minorHAnsi"/>
        </w:rPr>
      </w:pPr>
      <w:bookmarkStart w:id="11" w:name="_Toc8896932"/>
      <w:r w:rsidRPr="00FE708B">
        <w:rPr>
          <w:rFonts w:asciiTheme="minorHAnsi" w:hAnsiTheme="minorHAnsi" w:cstheme="minorHAnsi"/>
        </w:rPr>
        <w:t>Badanie ilościowe</w:t>
      </w:r>
      <w:r w:rsidR="00D53258" w:rsidRPr="00FE708B">
        <w:rPr>
          <w:rFonts w:asciiTheme="minorHAnsi" w:hAnsiTheme="minorHAnsi" w:cstheme="minorHAnsi"/>
        </w:rPr>
        <w:t xml:space="preserve"> etapu właściwego</w:t>
      </w:r>
      <w:bookmarkEnd w:id="11"/>
    </w:p>
    <w:p w14:paraId="2CDD84F9" w14:textId="77777777" w:rsidR="005120B9" w:rsidRPr="00FE708B" w:rsidRDefault="005120B9"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Badanie ilościowe obejmie następujące grupy respondentów: a) pracownicy skierowani na szkolenia przez przedsiębiorców, b) osoby fizyczne – osoby, które samodzielnie (bez pośrednictwa przedsiębiorcy) korzystają z BUR, c) usługodawcy – podmioty oferujące swoje usługi za pośrednictwem BUR</w:t>
      </w:r>
      <w:r w:rsidR="0085745D" w:rsidRPr="00FE708B">
        <w:rPr>
          <w:rFonts w:asciiTheme="minorHAnsi" w:eastAsiaTheme="minorHAnsi" w:hAnsiTheme="minorHAnsi" w:cstheme="minorHAnsi"/>
          <w:lang w:eastAsia="en-US"/>
        </w:rPr>
        <w:t>, d) operatorzy</w:t>
      </w:r>
      <w:r w:rsidRPr="00FE708B">
        <w:rPr>
          <w:rFonts w:asciiTheme="minorHAnsi" w:eastAsiaTheme="minorHAnsi" w:hAnsiTheme="minorHAnsi" w:cstheme="minorHAnsi"/>
          <w:lang w:eastAsia="en-US"/>
        </w:rPr>
        <w:t xml:space="preserve">. </w:t>
      </w:r>
    </w:p>
    <w:p w14:paraId="49430A84" w14:textId="77777777" w:rsidR="00D53258" w:rsidRPr="00FE708B" w:rsidRDefault="00D53258"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Zwracamy uwagę, że badanie ilościowe co do zasady powinno służyć zbadaniu zasięgu oraz rozmiar</w:t>
      </w:r>
      <w:r w:rsidR="006B0D48" w:rsidRPr="00FE708B">
        <w:rPr>
          <w:rFonts w:asciiTheme="minorHAnsi" w:eastAsiaTheme="minorHAnsi" w:hAnsiTheme="minorHAnsi" w:cstheme="minorHAnsi"/>
          <w:lang w:eastAsia="en-US"/>
        </w:rPr>
        <w:t>ów</w:t>
      </w:r>
      <w:r w:rsidRPr="00FE708B">
        <w:rPr>
          <w:rFonts w:asciiTheme="minorHAnsi" w:eastAsiaTheme="minorHAnsi" w:hAnsiTheme="minorHAnsi" w:cstheme="minorHAnsi"/>
          <w:lang w:eastAsia="en-US"/>
        </w:rPr>
        <w:t xml:space="preserve"> zjawisk zidentyfikowanych w części wstępnej badania. </w:t>
      </w:r>
    </w:p>
    <w:p w14:paraId="2BF73D6D" w14:textId="77777777" w:rsidR="008D09D2" w:rsidRPr="00FE708B" w:rsidRDefault="008D09D2" w:rsidP="00E97F99">
      <w:pPr>
        <w:pStyle w:val="Legenda"/>
        <w:keepNext/>
        <w:spacing w:before="120" w:after="120" w:line="360" w:lineRule="auto"/>
        <w:rPr>
          <w:rFonts w:cstheme="minorHAnsi"/>
          <w:b/>
          <w:sz w:val="24"/>
          <w:szCs w:val="24"/>
        </w:rPr>
      </w:pPr>
      <w:r w:rsidRPr="00FE708B">
        <w:rPr>
          <w:rFonts w:cstheme="minorHAnsi"/>
          <w:b/>
          <w:sz w:val="24"/>
          <w:szCs w:val="24"/>
        </w:rPr>
        <w:t xml:space="preserve">Tabela </w:t>
      </w:r>
      <w:r w:rsidRPr="00FE708B">
        <w:rPr>
          <w:rFonts w:cstheme="minorHAnsi"/>
          <w:b/>
          <w:sz w:val="24"/>
          <w:szCs w:val="24"/>
        </w:rPr>
        <w:fldChar w:fldCharType="begin"/>
      </w:r>
      <w:r w:rsidRPr="00FE708B">
        <w:rPr>
          <w:rFonts w:cstheme="minorHAnsi"/>
          <w:b/>
          <w:sz w:val="24"/>
          <w:szCs w:val="24"/>
        </w:rPr>
        <w:instrText xml:space="preserve"> SEQ Tabela \* ARABIC </w:instrText>
      </w:r>
      <w:r w:rsidRPr="00FE708B">
        <w:rPr>
          <w:rFonts w:cstheme="minorHAnsi"/>
          <w:b/>
          <w:sz w:val="24"/>
          <w:szCs w:val="24"/>
        </w:rPr>
        <w:fldChar w:fldCharType="separate"/>
      </w:r>
      <w:r w:rsidRPr="00FE708B">
        <w:rPr>
          <w:rFonts w:cstheme="minorHAnsi"/>
          <w:b/>
          <w:noProof/>
          <w:sz w:val="24"/>
          <w:szCs w:val="24"/>
        </w:rPr>
        <w:t>2</w:t>
      </w:r>
      <w:r w:rsidRPr="00FE708B">
        <w:rPr>
          <w:rFonts w:cstheme="minorHAnsi"/>
          <w:b/>
          <w:sz w:val="24"/>
          <w:szCs w:val="24"/>
        </w:rPr>
        <w:fldChar w:fldCharType="end"/>
      </w:r>
      <w:r w:rsidRPr="00FE708B">
        <w:rPr>
          <w:rFonts w:cstheme="minorHAnsi"/>
          <w:b/>
          <w:sz w:val="24"/>
          <w:szCs w:val="24"/>
        </w:rPr>
        <w:t xml:space="preserve"> Opis próby badania ilościowego części właściwej</w:t>
      </w:r>
    </w:p>
    <w:tbl>
      <w:tblPr>
        <w:tblStyle w:val="Tabela-Siatka"/>
        <w:tblW w:w="0" w:type="auto"/>
        <w:tblLayout w:type="fixed"/>
        <w:tblLook w:val="04A0" w:firstRow="1" w:lastRow="0" w:firstColumn="1" w:lastColumn="0" w:noHBand="0" w:noVBand="1"/>
      </w:tblPr>
      <w:tblGrid>
        <w:gridCol w:w="2265"/>
        <w:gridCol w:w="1841"/>
        <w:gridCol w:w="1985"/>
        <w:gridCol w:w="2971"/>
      </w:tblGrid>
      <w:tr w:rsidR="007D4D96" w:rsidRPr="00FE708B" w14:paraId="3C1494E4" w14:textId="77777777" w:rsidTr="00C16523">
        <w:tc>
          <w:tcPr>
            <w:tcW w:w="2265" w:type="dxa"/>
            <w:vAlign w:val="center"/>
          </w:tcPr>
          <w:p w14:paraId="46FC3F69" w14:textId="77777777" w:rsidR="007D4D96" w:rsidRPr="00FE708B" w:rsidRDefault="007D4D96"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Badana populacja</w:t>
            </w:r>
          </w:p>
        </w:tc>
        <w:tc>
          <w:tcPr>
            <w:tcW w:w="1841" w:type="dxa"/>
            <w:vAlign w:val="center"/>
          </w:tcPr>
          <w:p w14:paraId="56197D8E" w14:textId="77777777" w:rsidR="007D4D96" w:rsidRPr="00FE708B" w:rsidRDefault="007D4D96"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Jednostka próby</w:t>
            </w:r>
          </w:p>
        </w:tc>
        <w:tc>
          <w:tcPr>
            <w:tcW w:w="1985" w:type="dxa"/>
            <w:vAlign w:val="center"/>
          </w:tcPr>
          <w:p w14:paraId="2AF28555" w14:textId="77777777" w:rsidR="007D4D96" w:rsidRPr="00FE708B" w:rsidRDefault="007D4D96"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Wielkość próby</w:t>
            </w:r>
          </w:p>
        </w:tc>
        <w:tc>
          <w:tcPr>
            <w:tcW w:w="2971" w:type="dxa"/>
            <w:vAlign w:val="center"/>
          </w:tcPr>
          <w:p w14:paraId="34F1D211" w14:textId="77777777" w:rsidR="007D4D96" w:rsidRPr="00FE708B" w:rsidRDefault="007D4D96"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Narzędzie badawcze, czas wywiadu, dobór próby</w:t>
            </w:r>
          </w:p>
        </w:tc>
      </w:tr>
      <w:tr w:rsidR="007D4D96" w:rsidRPr="00FE708B" w14:paraId="3C6E32F3" w14:textId="77777777" w:rsidTr="00C16523">
        <w:tc>
          <w:tcPr>
            <w:tcW w:w="2265" w:type="dxa"/>
          </w:tcPr>
          <w:p w14:paraId="7CA0C9F0" w14:textId="77777777" w:rsidR="007D4D96" w:rsidRPr="00FE708B" w:rsidRDefault="007D4D96" w:rsidP="009B4369">
            <w:pPr>
              <w:pStyle w:val="NormalnyWeb"/>
              <w:numPr>
                <w:ilvl w:val="0"/>
                <w:numId w:val="15"/>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Pracownicy skierowani na szkolenia przez przedsiębiorców</w:t>
            </w:r>
          </w:p>
        </w:tc>
        <w:tc>
          <w:tcPr>
            <w:tcW w:w="1841" w:type="dxa"/>
          </w:tcPr>
          <w:p w14:paraId="3F6FF798" w14:textId="77777777" w:rsidR="007D4D96" w:rsidRPr="00FE708B" w:rsidRDefault="007D4D96" w:rsidP="00E97F99">
            <w:pPr>
              <w:pStyle w:val="NormalnyWeb"/>
              <w:spacing w:before="120" w:after="120" w:line="360" w:lineRule="auto"/>
              <w:jc w:val="center"/>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Pracownik</w:t>
            </w:r>
          </w:p>
          <w:p w14:paraId="457A625A" w14:textId="77777777" w:rsidR="007D4D96" w:rsidRPr="00FE708B" w:rsidRDefault="007D4D96" w:rsidP="00E97F99">
            <w:pPr>
              <w:pStyle w:val="NormalnyWeb"/>
              <w:spacing w:before="120" w:after="120" w:line="360" w:lineRule="auto"/>
              <w:ind w:left="331"/>
              <w:rPr>
                <w:rFonts w:asciiTheme="minorHAnsi" w:eastAsiaTheme="minorHAnsi" w:hAnsiTheme="minorHAnsi" w:cstheme="minorHAnsi"/>
                <w:lang w:eastAsia="en-US"/>
              </w:rPr>
            </w:pPr>
          </w:p>
        </w:tc>
        <w:tc>
          <w:tcPr>
            <w:tcW w:w="1985" w:type="dxa"/>
          </w:tcPr>
          <w:p w14:paraId="031BF243"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704ED3" w:rsidRPr="00FE708B">
              <w:rPr>
                <w:rFonts w:asciiTheme="minorHAnsi" w:eastAsiaTheme="minorHAnsi" w:hAnsiTheme="minorHAnsi" w:cstheme="minorHAnsi"/>
                <w:lang w:eastAsia="en-US"/>
              </w:rPr>
              <w:t>1680</w:t>
            </w:r>
            <w:r w:rsidRPr="00FE708B">
              <w:rPr>
                <w:rFonts w:asciiTheme="minorHAnsi" w:eastAsiaTheme="minorHAnsi" w:hAnsiTheme="minorHAnsi" w:cstheme="minorHAnsi"/>
                <w:lang w:eastAsia="en-US"/>
              </w:rPr>
              <w:t xml:space="preserve"> (po 1</w:t>
            </w:r>
            <w:r w:rsidR="00704ED3" w:rsidRPr="00FE708B">
              <w:rPr>
                <w:rFonts w:asciiTheme="minorHAnsi" w:eastAsiaTheme="minorHAnsi" w:hAnsiTheme="minorHAnsi" w:cstheme="minorHAnsi"/>
                <w:lang w:eastAsia="en-US"/>
              </w:rPr>
              <w:t>20</w:t>
            </w:r>
            <w:r w:rsidRPr="00FE708B">
              <w:rPr>
                <w:rFonts w:asciiTheme="minorHAnsi" w:eastAsiaTheme="minorHAnsi" w:hAnsiTheme="minorHAnsi" w:cstheme="minorHAnsi"/>
                <w:lang w:eastAsia="en-US"/>
              </w:rPr>
              <w:t xml:space="preserve"> wywiadów na województwo)</w:t>
            </w:r>
          </w:p>
          <w:p w14:paraId="6229A677"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p>
          <w:p w14:paraId="72E410ED"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p>
          <w:p w14:paraId="326A41F2"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p>
        </w:tc>
        <w:tc>
          <w:tcPr>
            <w:tcW w:w="2971" w:type="dxa"/>
          </w:tcPr>
          <w:p w14:paraId="31709F7B"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Kwestionariusz</w:t>
            </w:r>
            <w:r w:rsidR="006B0D48" w:rsidRPr="00FE708B">
              <w:rPr>
                <w:rFonts w:asciiTheme="minorHAnsi" w:eastAsiaTheme="minorHAnsi" w:hAnsiTheme="minorHAnsi" w:cstheme="minorHAnsi"/>
                <w:lang w:eastAsia="en-US"/>
              </w:rPr>
              <w:t xml:space="preserve"> wywiadu/</w:t>
            </w:r>
            <w:r w:rsidRPr="00FE708B">
              <w:rPr>
                <w:rFonts w:asciiTheme="minorHAnsi" w:eastAsiaTheme="minorHAnsi" w:hAnsiTheme="minorHAnsi" w:cstheme="minorHAnsi"/>
                <w:lang w:eastAsia="en-US"/>
              </w:rPr>
              <w:t>ankiet</w:t>
            </w:r>
            <w:r w:rsidR="006B0D48" w:rsidRPr="00FE708B">
              <w:rPr>
                <w:rFonts w:asciiTheme="minorHAnsi" w:eastAsiaTheme="minorHAnsi" w:hAnsiTheme="minorHAnsi" w:cstheme="minorHAnsi"/>
                <w:lang w:eastAsia="en-US"/>
              </w:rPr>
              <w:t>y</w:t>
            </w:r>
          </w:p>
          <w:p w14:paraId="48A2FEDC"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10-15 minut (plus metryczka) </w:t>
            </w:r>
          </w:p>
          <w:p w14:paraId="30181B35" w14:textId="77777777" w:rsidR="0095347E" w:rsidRPr="00FE708B" w:rsidRDefault="0095347E"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Na tym etapie Zamawiający nie przesądza jaki dobór próby powinien zastosować Wykonawca. Ostateczna </w:t>
            </w:r>
            <w:r w:rsidRPr="00FE708B">
              <w:rPr>
                <w:rFonts w:asciiTheme="minorHAnsi" w:eastAsiaTheme="minorHAnsi" w:hAnsiTheme="minorHAnsi" w:cstheme="minorHAnsi"/>
                <w:lang w:eastAsia="en-US"/>
              </w:rPr>
              <w:lastRenderedPageBreak/>
              <w:t xml:space="preserve">decyzja będzie zależała od informacji pozyskanych w trakcie analizy danych zastanych (część wstępna badania). Co za tym idzie dopuszczalny jest zarówno dobór </w:t>
            </w:r>
            <w:r w:rsidR="006B0D48" w:rsidRPr="00FE708B">
              <w:rPr>
                <w:rFonts w:asciiTheme="minorHAnsi" w:eastAsiaTheme="minorHAnsi" w:hAnsiTheme="minorHAnsi" w:cstheme="minorHAnsi"/>
                <w:lang w:eastAsia="en-US"/>
              </w:rPr>
              <w:t xml:space="preserve">warstwowy </w:t>
            </w:r>
            <w:r w:rsidRPr="00FE708B">
              <w:rPr>
                <w:rFonts w:asciiTheme="minorHAnsi" w:eastAsiaTheme="minorHAnsi" w:hAnsiTheme="minorHAnsi" w:cstheme="minorHAnsi"/>
                <w:lang w:eastAsia="en-US"/>
              </w:rPr>
              <w:t xml:space="preserve">proporcjonalny, </w:t>
            </w:r>
            <w:r w:rsidR="006B0D48" w:rsidRPr="00FE708B">
              <w:rPr>
                <w:rFonts w:asciiTheme="minorHAnsi" w:eastAsiaTheme="minorHAnsi" w:hAnsiTheme="minorHAnsi" w:cstheme="minorHAnsi"/>
                <w:lang w:eastAsia="en-US"/>
              </w:rPr>
              <w:t>nieproporcjonalny</w:t>
            </w:r>
            <w:r w:rsidR="00063ED4" w:rsidRPr="00FE708B">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 xml:space="preserve">(np. równoliczny), zastosowanie boostera w przypadku małolicznych grup respondentów, itp. Także na tym etapie Zamawiający nie określa sposobu losowania jednostek próby (np. ze zwracaniem, bez zwracania, systematyczny, etc.) </w:t>
            </w:r>
            <w:r w:rsidR="007D4D96" w:rsidRPr="00FE708B">
              <w:rPr>
                <w:rFonts w:asciiTheme="minorHAnsi" w:eastAsiaTheme="minorHAnsi" w:hAnsiTheme="minorHAnsi" w:cstheme="minorHAnsi"/>
                <w:lang w:eastAsia="en-US"/>
              </w:rPr>
              <w:t>Aczkolwiek pr</w:t>
            </w:r>
            <w:r w:rsidRPr="00FE708B">
              <w:rPr>
                <w:rFonts w:asciiTheme="minorHAnsi" w:eastAsiaTheme="minorHAnsi" w:hAnsiTheme="minorHAnsi" w:cstheme="minorHAnsi"/>
                <w:lang w:eastAsia="en-US"/>
              </w:rPr>
              <w:t xml:space="preserve">óba powinna umożliwiać statystycznie uprawnione wnioskowanie na ogół </w:t>
            </w:r>
            <w:r w:rsidR="00985111" w:rsidRPr="00FE708B">
              <w:rPr>
                <w:rFonts w:asciiTheme="minorHAnsi" w:eastAsiaTheme="minorHAnsi" w:hAnsiTheme="minorHAnsi" w:cstheme="minorHAnsi"/>
                <w:lang w:eastAsia="en-US"/>
              </w:rPr>
              <w:t xml:space="preserve">badanej </w:t>
            </w:r>
            <w:r w:rsidRPr="00FE708B">
              <w:rPr>
                <w:rFonts w:asciiTheme="minorHAnsi" w:eastAsiaTheme="minorHAnsi" w:hAnsiTheme="minorHAnsi" w:cstheme="minorHAnsi"/>
                <w:lang w:eastAsia="en-US"/>
              </w:rPr>
              <w:t>populacji oraz na jej wybrane frakcje (</w:t>
            </w:r>
            <w:r w:rsidR="00985111" w:rsidRPr="00FE708B">
              <w:rPr>
                <w:rFonts w:asciiTheme="minorHAnsi" w:eastAsiaTheme="minorHAnsi" w:hAnsiTheme="minorHAnsi" w:cstheme="minorHAnsi"/>
                <w:lang w:eastAsia="en-US"/>
              </w:rPr>
              <w:t>do uzgodnienia między Wykonawcą a Zamawiającym na etapie opracowywania raportu metodologicznego, po zapoznaniu się przez Wykonawcę z operatem</w:t>
            </w:r>
            <w:r w:rsidRPr="00FE708B">
              <w:rPr>
                <w:rFonts w:asciiTheme="minorHAnsi" w:eastAsiaTheme="minorHAnsi" w:hAnsiTheme="minorHAnsi" w:cstheme="minorHAnsi"/>
                <w:lang w:eastAsia="en-US"/>
              </w:rPr>
              <w:t>)</w:t>
            </w:r>
            <w:r w:rsidR="00985111" w:rsidRPr="00FE708B">
              <w:rPr>
                <w:rFonts w:asciiTheme="minorHAnsi" w:eastAsiaTheme="minorHAnsi" w:hAnsiTheme="minorHAnsi" w:cstheme="minorHAnsi"/>
                <w:lang w:eastAsia="en-US"/>
              </w:rPr>
              <w:t>.</w:t>
            </w:r>
          </w:p>
          <w:p w14:paraId="27D89F91" w14:textId="77777777" w:rsidR="007D4D96" w:rsidRPr="00FE708B" w:rsidRDefault="0095347E"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Wykonawca przygotowując dobór próby powinien rozpocząć od wylosowania przedsiębiorstw korzystających z PSF, a następnie w ramach wylosowanych podmiotów dążyć do realizacji dwóch wywiadów (1 z kobietą, 1 z mężczyzną). </w:t>
            </w:r>
            <w:r w:rsidR="007D4D96" w:rsidRPr="00FE708B">
              <w:rPr>
                <w:rFonts w:asciiTheme="minorHAnsi" w:eastAsiaTheme="minorHAnsi" w:hAnsiTheme="minorHAnsi" w:cstheme="minorHAnsi"/>
                <w:lang w:eastAsia="en-US"/>
              </w:rPr>
              <w:t xml:space="preserve"> </w:t>
            </w:r>
          </w:p>
        </w:tc>
      </w:tr>
      <w:tr w:rsidR="007D4D96" w:rsidRPr="00FE708B" w14:paraId="2C1D74C3" w14:textId="77777777" w:rsidTr="00C16523">
        <w:tc>
          <w:tcPr>
            <w:tcW w:w="2265" w:type="dxa"/>
          </w:tcPr>
          <w:p w14:paraId="6AA573BC" w14:textId="77777777" w:rsidR="007D4D96" w:rsidRPr="00FE708B" w:rsidRDefault="00C16523" w:rsidP="00985111">
            <w:pPr>
              <w:pStyle w:val="NormalnyWeb"/>
              <w:numPr>
                <w:ilvl w:val="0"/>
                <w:numId w:val="15"/>
              </w:numPr>
              <w:spacing w:before="120" w:after="120" w:line="360" w:lineRule="auto"/>
              <w:ind w:left="455"/>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Osoby fizyczne, które samodzielnie skorzystały z </w:t>
            </w:r>
            <w:r w:rsidR="0085745D" w:rsidRPr="00FE708B">
              <w:rPr>
                <w:rFonts w:asciiTheme="minorHAnsi" w:eastAsiaTheme="minorHAnsi" w:hAnsiTheme="minorHAnsi" w:cstheme="minorHAnsi"/>
                <w:lang w:eastAsia="en-US"/>
              </w:rPr>
              <w:t>BUR</w:t>
            </w:r>
            <w:r w:rsidRPr="00FE708B">
              <w:rPr>
                <w:rFonts w:asciiTheme="minorHAnsi" w:eastAsiaTheme="minorHAnsi" w:hAnsiTheme="minorHAnsi" w:cstheme="minorHAnsi"/>
                <w:lang w:eastAsia="en-US"/>
              </w:rPr>
              <w:t>/PSF</w:t>
            </w:r>
            <w:r w:rsidR="007D4D96" w:rsidRPr="00FE708B">
              <w:rPr>
                <w:rFonts w:asciiTheme="minorHAnsi" w:eastAsiaTheme="minorHAnsi" w:hAnsiTheme="minorHAnsi" w:cstheme="minorHAnsi"/>
                <w:lang w:eastAsia="en-US"/>
              </w:rPr>
              <w:t xml:space="preserve">  </w:t>
            </w:r>
            <w:r w:rsidR="00985111" w:rsidRPr="00FE708B">
              <w:rPr>
                <w:rFonts w:asciiTheme="minorHAnsi" w:eastAsiaTheme="minorHAnsi" w:hAnsiTheme="minorHAnsi" w:cstheme="minorHAnsi"/>
                <w:lang w:eastAsia="en-US"/>
              </w:rPr>
              <w:t>(klienci indywidualni)</w:t>
            </w:r>
          </w:p>
        </w:tc>
        <w:tc>
          <w:tcPr>
            <w:tcW w:w="1841" w:type="dxa"/>
          </w:tcPr>
          <w:p w14:paraId="6855DCDE" w14:textId="77777777" w:rsidR="007D4D96"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która samodzielnie skorzystała z BUR/PSF</w:t>
            </w:r>
          </w:p>
        </w:tc>
        <w:tc>
          <w:tcPr>
            <w:tcW w:w="1985" w:type="dxa"/>
          </w:tcPr>
          <w:p w14:paraId="41072E3A" w14:textId="77777777" w:rsidR="007D4D96" w:rsidRPr="00FE708B" w:rsidRDefault="00C16523" w:rsidP="00985111">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985111" w:rsidRPr="00FE708B">
              <w:rPr>
                <w:rFonts w:asciiTheme="minorHAnsi" w:eastAsiaTheme="minorHAnsi" w:hAnsiTheme="minorHAnsi" w:cstheme="minorHAnsi"/>
                <w:lang w:eastAsia="en-US"/>
              </w:rPr>
              <w:t>300</w:t>
            </w:r>
            <w:r w:rsidRPr="00FE708B">
              <w:rPr>
                <w:rFonts w:asciiTheme="minorHAnsi" w:eastAsiaTheme="minorHAnsi" w:hAnsiTheme="minorHAnsi" w:cstheme="minorHAnsi"/>
                <w:lang w:eastAsia="en-US"/>
              </w:rPr>
              <w:t xml:space="preserve"> (po 100 wywiadów na województwo</w:t>
            </w:r>
            <w:r w:rsidR="00985111" w:rsidRPr="00FE708B">
              <w:rPr>
                <w:rFonts w:asciiTheme="minorHAnsi" w:eastAsiaTheme="minorHAnsi" w:hAnsiTheme="minorHAnsi" w:cstheme="minorHAnsi"/>
                <w:lang w:eastAsia="en-US"/>
              </w:rPr>
              <w:t xml:space="preserve"> adresujące wsparcie w ramach PSF do osób fizycznych</w:t>
            </w:r>
            <w:r w:rsidRPr="00FE708B">
              <w:rPr>
                <w:rFonts w:asciiTheme="minorHAnsi" w:eastAsiaTheme="minorHAnsi" w:hAnsiTheme="minorHAnsi" w:cstheme="minorHAnsi"/>
                <w:lang w:eastAsia="en-US"/>
              </w:rPr>
              <w:t>)</w:t>
            </w:r>
          </w:p>
        </w:tc>
        <w:tc>
          <w:tcPr>
            <w:tcW w:w="2971" w:type="dxa"/>
          </w:tcPr>
          <w:p w14:paraId="4B855165" w14:textId="77777777" w:rsidR="00C16523"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Kwestionariusz</w:t>
            </w:r>
            <w:r w:rsidR="006B0D48" w:rsidRPr="00FE708B">
              <w:rPr>
                <w:rFonts w:asciiTheme="minorHAnsi" w:eastAsiaTheme="minorHAnsi" w:hAnsiTheme="minorHAnsi" w:cstheme="minorHAnsi"/>
                <w:lang w:eastAsia="en-US"/>
              </w:rPr>
              <w:t xml:space="preserve"> wywiadu/ankiety</w:t>
            </w:r>
          </w:p>
          <w:p w14:paraId="54905FDD" w14:textId="77777777" w:rsidR="00C16523"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10-15 minut (plus metryczka) </w:t>
            </w:r>
          </w:p>
          <w:p w14:paraId="41BA88C3" w14:textId="77777777" w:rsidR="007D4D96" w:rsidRPr="00FE708B" w:rsidRDefault="00C16523" w:rsidP="000C71CA">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zostanie ustalony na etapie opracowywania raportu metodologicznego. Niemniej w przypadku tej grupy badanych Wykonawca powinien dążyć do doboru </w:t>
            </w:r>
            <w:r w:rsidR="000C71CA" w:rsidRPr="00FE708B">
              <w:rPr>
                <w:rFonts w:asciiTheme="minorHAnsi" w:eastAsiaTheme="minorHAnsi" w:hAnsiTheme="minorHAnsi" w:cstheme="minorHAnsi"/>
                <w:lang w:eastAsia="en-US"/>
              </w:rPr>
              <w:t>proporcjonalnego – warstwowego. Warstwy zostaną określone na etapie opracowywania raportu metodologicznego, po zapoznaniu się Wykonawcy z danymi z BUR.</w:t>
            </w:r>
          </w:p>
        </w:tc>
      </w:tr>
      <w:tr w:rsidR="007D4D96" w:rsidRPr="00FE708B" w14:paraId="6948871B" w14:textId="77777777" w:rsidTr="00C16523">
        <w:tc>
          <w:tcPr>
            <w:tcW w:w="2265" w:type="dxa"/>
          </w:tcPr>
          <w:p w14:paraId="0115211B" w14:textId="77777777" w:rsidR="007D4D96" w:rsidRPr="00FE708B" w:rsidRDefault="00C16523" w:rsidP="00985111">
            <w:pPr>
              <w:pStyle w:val="NormalnyWeb"/>
              <w:numPr>
                <w:ilvl w:val="0"/>
                <w:numId w:val="15"/>
              </w:numPr>
              <w:spacing w:before="120" w:after="120" w:line="360" w:lineRule="auto"/>
              <w:ind w:left="455"/>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Usługodawcy</w:t>
            </w:r>
          </w:p>
          <w:p w14:paraId="22A3A821" w14:textId="77777777" w:rsidR="007D4D96" w:rsidRPr="00FE708B" w:rsidRDefault="007D4D96" w:rsidP="00E97F99">
            <w:pPr>
              <w:pStyle w:val="NormalnyWeb"/>
              <w:spacing w:before="120" w:after="120" w:line="360" w:lineRule="auto"/>
              <w:rPr>
                <w:rFonts w:asciiTheme="minorHAnsi" w:eastAsiaTheme="minorHAnsi" w:hAnsiTheme="minorHAnsi" w:cstheme="minorHAnsi"/>
                <w:lang w:eastAsia="en-US"/>
              </w:rPr>
            </w:pPr>
          </w:p>
        </w:tc>
        <w:tc>
          <w:tcPr>
            <w:tcW w:w="1841" w:type="dxa"/>
          </w:tcPr>
          <w:p w14:paraId="7B75D0FA" w14:textId="77777777" w:rsidR="007D4D96"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Osoba odpowiedzialna za kwestie związane z obecnością firmy w BUR </w:t>
            </w:r>
          </w:p>
        </w:tc>
        <w:tc>
          <w:tcPr>
            <w:tcW w:w="1985" w:type="dxa"/>
          </w:tcPr>
          <w:p w14:paraId="71DF0E1A" w14:textId="77777777" w:rsidR="007D4D96" w:rsidRPr="00FE708B" w:rsidRDefault="00C16523" w:rsidP="00704ED3">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704ED3" w:rsidRPr="00FE708B">
              <w:rPr>
                <w:rFonts w:asciiTheme="minorHAnsi" w:eastAsiaTheme="minorHAnsi" w:hAnsiTheme="minorHAnsi" w:cstheme="minorHAnsi"/>
                <w:lang w:eastAsia="en-US"/>
              </w:rPr>
              <w:t>150</w:t>
            </w:r>
          </w:p>
        </w:tc>
        <w:tc>
          <w:tcPr>
            <w:tcW w:w="2971" w:type="dxa"/>
          </w:tcPr>
          <w:p w14:paraId="152CE6AC" w14:textId="77777777" w:rsidR="00C16523"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Kwestionariusz</w:t>
            </w:r>
            <w:r w:rsidR="006B0D48" w:rsidRPr="00FE708B">
              <w:rPr>
                <w:rFonts w:asciiTheme="minorHAnsi" w:eastAsiaTheme="minorHAnsi" w:hAnsiTheme="minorHAnsi" w:cstheme="minorHAnsi"/>
                <w:lang w:eastAsia="en-US"/>
              </w:rPr>
              <w:t xml:space="preserve"> wywiadu/</w:t>
            </w:r>
            <w:r w:rsidRPr="00FE708B">
              <w:rPr>
                <w:rFonts w:asciiTheme="minorHAnsi" w:eastAsiaTheme="minorHAnsi" w:hAnsiTheme="minorHAnsi" w:cstheme="minorHAnsi"/>
                <w:lang w:eastAsia="en-US"/>
              </w:rPr>
              <w:t>ankiet</w:t>
            </w:r>
            <w:r w:rsidR="006B0D48" w:rsidRPr="00FE708B">
              <w:rPr>
                <w:rFonts w:asciiTheme="minorHAnsi" w:eastAsiaTheme="minorHAnsi" w:hAnsiTheme="minorHAnsi" w:cstheme="minorHAnsi"/>
                <w:lang w:eastAsia="en-US"/>
              </w:rPr>
              <w:t>y</w:t>
            </w:r>
          </w:p>
          <w:p w14:paraId="769A0542" w14:textId="77777777" w:rsidR="00C16523" w:rsidRPr="00FE708B" w:rsidRDefault="00C16523"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10-15 minut (plus metryczka) </w:t>
            </w:r>
          </w:p>
          <w:p w14:paraId="0DC8BEB3" w14:textId="77777777" w:rsidR="007D4D96" w:rsidRPr="00FE708B" w:rsidRDefault="00331A54"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zostanie ustalony na etapie opracowywania raportu metodologicznego. Aczkolwiek istotne jest, aby Wykonawca uchwycił w próbie zróżnicowanie według kategorii świadczonych usług oraz modelu w jakim dany podmiot świadczy usługi w ramach PSF (należy jednak pamiętać, że jeden podmiot może świadczyć usługi w ramach więcej niż jednego modelu, np. rozliczać się z PSF, w którym obowiązuje system bonów oraz z PSF, w którym obowiązuje refundacja). </w:t>
            </w:r>
          </w:p>
        </w:tc>
      </w:tr>
      <w:tr w:rsidR="004223E0" w:rsidRPr="00FE708B" w14:paraId="1B9D4A6B" w14:textId="77777777" w:rsidTr="00C16523">
        <w:tc>
          <w:tcPr>
            <w:tcW w:w="2265" w:type="dxa"/>
          </w:tcPr>
          <w:p w14:paraId="1E740BD9" w14:textId="77777777" w:rsidR="004223E0" w:rsidRPr="00FE708B" w:rsidRDefault="004223E0" w:rsidP="00FE708B">
            <w:pPr>
              <w:pStyle w:val="NormalnyWeb"/>
              <w:numPr>
                <w:ilvl w:val="0"/>
                <w:numId w:val="15"/>
              </w:numPr>
              <w:spacing w:before="120" w:after="120" w:line="360" w:lineRule="auto"/>
              <w:ind w:left="455"/>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Operatorzy</w:t>
            </w:r>
          </w:p>
        </w:tc>
        <w:tc>
          <w:tcPr>
            <w:tcW w:w="1841" w:type="dxa"/>
          </w:tcPr>
          <w:p w14:paraId="64F75308" w14:textId="77777777" w:rsidR="004223E0" w:rsidRPr="00FE708B" w:rsidRDefault="00463225" w:rsidP="00463225">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zarządzająca projektem</w:t>
            </w:r>
          </w:p>
        </w:tc>
        <w:tc>
          <w:tcPr>
            <w:tcW w:w="1985" w:type="dxa"/>
          </w:tcPr>
          <w:p w14:paraId="7F393384" w14:textId="77777777" w:rsidR="004223E0" w:rsidRPr="00FE708B" w:rsidRDefault="004223E0" w:rsidP="00985111">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985111" w:rsidRPr="00FE708B">
              <w:rPr>
                <w:rFonts w:asciiTheme="minorHAnsi" w:eastAsiaTheme="minorHAnsi" w:hAnsiTheme="minorHAnsi" w:cstheme="minorHAnsi"/>
                <w:lang w:eastAsia="en-US"/>
              </w:rPr>
              <w:t>78</w:t>
            </w:r>
            <w:r w:rsidRPr="00FE708B">
              <w:rPr>
                <w:rFonts w:asciiTheme="minorHAnsi" w:eastAsiaTheme="minorHAnsi" w:hAnsiTheme="minorHAnsi" w:cstheme="minorHAnsi"/>
                <w:lang w:eastAsia="en-US"/>
              </w:rPr>
              <w:t xml:space="preserve"> (próba wyczerpująca)</w:t>
            </w:r>
            <w:r w:rsidR="00985111" w:rsidRPr="00FE708B">
              <w:rPr>
                <w:rStyle w:val="Odwoanieprzypisudolnego"/>
                <w:rFonts w:asciiTheme="minorHAnsi" w:eastAsiaTheme="minorHAnsi" w:hAnsiTheme="minorHAnsi" w:cstheme="minorHAnsi"/>
                <w:lang w:eastAsia="en-US"/>
              </w:rPr>
              <w:footnoteReference w:id="19"/>
            </w:r>
          </w:p>
        </w:tc>
        <w:tc>
          <w:tcPr>
            <w:tcW w:w="2971" w:type="dxa"/>
          </w:tcPr>
          <w:p w14:paraId="507A5872" w14:textId="77777777" w:rsidR="004223E0" w:rsidRPr="00FE708B" w:rsidRDefault="004223E0"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Kwestionariusz</w:t>
            </w:r>
            <w:r w:rsidR="006B0D48" w:rsidRPr="00FE708B">
              <w:rPr>
                <w:rFonts w:asciiTheme="minorHAnsi" w:eastAsiaTheme="minorHAnsi" w:hAnsiTheme="minorHAnsi" w:cstheme="minorHAnsi"/>
                <w:lang w:eastAsia="en-US"/>
              </w:rPr>
              <w:t xml:space="preserve"> wywiadu/ </w:t>
            </w:r>
            <w:r w:rsidRPr="00FE708B">
              <w:rPr>
                <w:rFonts w:asciiTheme="minorHAnsi" w:eastAsiaTheme="minorHAnsi" w:hAnsiTheme="minorHAnsi" w:cstheme="minorHAnsi"/>
                <w:lang w:eastAsia="en-US"/>
              </w:rPr>
              <w:t>/ankiet</w:t>
            </w:r>
            <w:r w:rsidR="006B0D48" w:rsidRPr="00FE708B">
              <w:rPr>
                <w:rFonts w:asciiTheme="minorHAnsi" w:eastAsiaTheme="minorHAnsi" w:hAnsiTheme="minorHAnsi" w:cstheme="minorHAnsi"/>
                <w:lang w:eastAsia="en-US"/>
              </w:rPr>
              <w:t>y</w:t>
            </w:r>
          </w:p>
          <w:p w14:paraId="13436599" w14:textId="64956539" w:rsidR="004223E0" w:rsidRPr="00FE708B" w:rsidRDefault="00ED1217" w:rsidP="00D74067">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t=</w:t>
            </w:r>
            <w:r w:rsidR="004223E0" w:rsidRPr="00FE708B">
              <w:rPr>
                <w:rFonts w:asciiTheme="minorHAnsi" w:eastAsiaTheme="minorHAnsi" w:hAnsiTheme="minorHAnsi" w:cstheme="minorHAnsi"/>
                <w:lang w:eastAsia="en-US"/>
              </w:rPr>
              <w:t xml:space="preserve">10-15 minut (plus metryczka) </w:t>
            </w:r>
          </w:p>
        </w:tc>
      </w:tr>
    </w:tbl>
    <w:p w14:paraId="3FCB18F4" w14:textId="77777777" w:rsidR="00331A54" w:rsidRPr="00FE708B" w:rsidRDefault="00331A54"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Łącznie Wykonawca przeprowadzi 2</w:t>
      </w:r>
      <w:r w:rsidR="00985111" w:rsidRPr="00FE708B">
        <w:rPr>
          <w:rFonts w:asciiTheme="minorHAnsi" w:eastAsiaTheme="minorHAnsi" w:hAnsiTheme="minorHAnsi" w:cstheme="minorHAnsi"/>
          <w:lang w:eastAsia="en-US"/>
        </w:rPr>
        <w:t>208</w:t>
      </w:r>
      <w:r w:rsidR="00D53258" w:rsidRPr="00FE708B">
        <w:rPr>
          <w:rFonts w:asciiTheme="minorHAnsi" w:eastAsiaTheme="minorHAnsi" w:hAnsiTheme="minorHAnsi" w:cstheme="minorHAnsi"/>
          <w:lang w:eastAsia="en-US"/>
        </w:rPr>
        <w:t xml:space="preserve"> </w:t>
      </w:r>
      <w:r w:rsidR="00985111" w:rsidRPr="00FE708B">
        <w:rPr>
          <w:rFonts w:asciiTheme="minorHAnsi" w:eastAsiaTheme="minorHAnsi" w:hAnsiTheme="minorHAnsi" w:cstheme="minorHAnsi"/>
          <w:lang w:eastAsia="en-US"/>
        </w:rPr>
        <w:t xml:space="preserve">wywiadów </w:t>
      </w:r>
      <w:r w:rsidR="003F02CE" w:rsidRPr="00FE708B">
        <w:rPr>
          <w:rFonts w:asciiTheme="minorHAnsi" w:eastAsiaTheme="minorHAnsi" w:hAnsiTheme="minorHAnsi" w:cstheme="minorHAnsi"/>
          <w:lang w:eastAsia="en-US"/>
        </w:rPr>
        <w:t>kwestionariuszow</w:t>
      </w:r>
      <w:r w:rsidR="00EF3FFD" w:rsidRPr="00FE708B">
        <w:rPr>
          <w:rFonts w:asciiTheme="minorHAnsi" w:eastAsiaTheme="minorHAnsi" w:hAnsiTheme="minorHAnsi" w:cstheme="minorHAnsi"/>
          <w:lang w:eastAsia="en-US"/>
        </w:rPr>
        <w:t>ych</w:t>
      </w:r>
      <w:r w:rsidR="005D7EF0" w:rsidRPr="00FE708B">
        <w:rPr>
          <w:rFonts w:asciiTheme="minorHAnsi" w:eastAsiaTheme="minorHAnsi" w:hAnsiTheme="minorHAnsi" w:cstheme="minorHAnsi"/>
          <w:lang w:eastAsia="en-US"/>
        </w:rPr>
        <w:t>/ankiet</w:t>
      </w:r>
      <w:r w:rsidRPr="00FE708B">
        <w:rPr>
          <w:rFonts w:asciiTheme="minorHAnsi" w:eastAsiaTheme="minorHAnsi" w:hAnsiTheme="minorHAnsi" w:cstheme="minorHAnsi"/>
          <w:lang w:eastAsia="en-US"/>
        </w:rPr>
        <w:t xml:space="preserve">. </w:t>
      </w:r>
      <w:r w:rsidR="004223E0" w:rsidRPr="00FE708B">
        <w:rPr>
          <w:rFonts w:asciiTheme="minorHAnsi" w:eastAsiaTheme="minorHAnsi" w:hAnsiTheme="minorHAnsi" w:cstheme="minorHAnsi"/>
          <w:lang w:eastAsia="en-US"/>
        </w:rPr>
        <w:t>Wywiady</w:t>
      </w:r>
      <w:r w:rsidR="005D7EF0" w:rsidRPr="00FE708B">
        <w:rPr>
          <w:rFonts w:asciiTheme="minorHAnsi" w:eastAsiaTheme="minorHAnsi" w:hAnsiTheme="minorHAnsi" w:cstheme="minorHAnsi"/>
          <w:lang w:eastAsia="en-US"/>
        </w:rPr>
        <w:t xml:space="preserve">/ankiety </w:t>
      </w:r>
      <w:r w:rsidR="004223E0" w:rsidRPr="00FE708B">
        <w:rPr>
          <w:rFonts w:asciiTheme="minorHAnsi" w:eastAsiaTheme="minorHAnsi" w:hAnsiTheme="minorHAnsi" w:cstheme="minorHAnsi"/>
          <w:lang w:eastAsia="en-US"/>
        </w:rPr>
        <w:t xml:space="preserve">mogą być realizowane przy zastosowaniu </w:t>
      </w:r>
      <w:r w:rsidR="006B0D48" w:rsidRPr="00FE708B">
        <w:rPr>
          <w:rFonts w:asciiTheme="minorHAnsi" w:eastAsiaTheme="minorHAnsi" w:hAnsiTheme="minorHAnsi" w:cstheme="minorHAnsi"/>
          <w:lang w:eastAsia="en-US"/>
        </w:rPr>
        <w:t xml:space="preserve">podejścia mixed-methods, wykorzystującego techniki </w:t>
      </w:r>
      <w:r w:rsidR="004223E0" w:rsidRPr="00FE708B">
        <w:rPr>
          <w:rFonts w:asciiTheme="minorHAnsi" w:eastAsiaTheme="minorHAnsi" w:hAnsiTheme="minorHAnsi" w:cstheme="minorHAnsi"/>
          <w:lang w:eastAsia="en-US"/>
        </w:rPr>
        <w:t>CATI</w:t>
      </w:r>
      <w:r w:rsidR="006B0D48" w:rsidRPr="00FE708B">
        <w:rPr>
          <w:rFonts w:asciiTheme="minorHAnsi" w:eastAsiaTheme="minorHAnsi" w:hAnsiTheme="minorHAnsi" w:cstheme="minorHAnsi"/>
          <w:lang w:eastAsia="en-US"/>
        </w:rPr>
        <w:t xml:space="preserve"> i </w:t>
      </w:r>
      <w:r w:rsidR="004223E0" w:rsidRPr="00FE708B">
        <w:rPr>
          <w:rFonts w:asciiTheme="minorHAnsi" w:eastAsiaTheme="minorHAnsi" w:hAnsiTheme="minorHAnsi" w:cstheme="minorHAnsi"/>
          <w:lang w:eastAsia="en-US"/>
        </w:rPr>
        <w:t>CAWI</w:t>
      </w:r>
      <w:r w:rsidR="00ED1217" w:rsidRPr="00FE708B">
        <w:rPr>
          <w:rFonts w:asciiTheme="minorHAnsi" w:eastAsiaTheme="minorHAnsi" w:hAnsiTheme="minorHAnsi" w:cstheme="minorHAnsi"/>
          <w:lang w:eastAsia="en-US"/>
        </w:rPr>
        <w:t>.</w:t>
      </w:r>
    </w:p>
    <w:p w14:paraId="6D89178A" w14:textId="77777777" w:rsidR="00331A54" w:rsidRPr="00FE708B" w:rsidRDefault="00331A54" w:rsidP="00E97F99">
      <w:pPr>
        <w:spacing w:before="120" w:after="120" w:line="360" w:lineRule="auto"/>
        <w:rPr>
          <w:rFonts w:cstheme="minorHAnsi"/>
          <w:sz w:val="24"/>
          <w:szCs w:val="24"/>
        </w:rPr>
      </w:pPr>
      <w:r w:rsidRPr="00FE708B">
        <w:rPr>
          <w:rFonts w:cstheme="minorHAnsi"/>
          <w:sz w:val="24"/>
          <w:szCs w:val="24"/>
        </w:rPr>
        <w:t xml:space="preserve">W ramach umowy Zamawiający przekaże do dyspozycji Wykonawcy dane, które mają umożliwić mu realizację badania: </w:t>
      </w:r>
    </w:p>
    <w:p w14:paraId="3F58ED3D" w14:textId="77777777" w:rsidR="00331A54" w:rsidRPr="00FE708B" w:rsidRDefault="00331A54"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Dane podmiotów oferujących usługi rozwojowe w ramach BUR,</w:t>
      </w:r>
    </w:p>
    <w:p w14:paraId="51920A69" w14:textId="77777777" w:rsidR="00331A54" w:rsidRPr="00FE708B" w:rsidRDefault="00331A54"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 xml:space="preserve">Operat badawczy, zawierający listę firm, które skorzystały z usług rozwojowych </w:t>
      </w:r>
      <w:r w:rsidRPr="00FE708B">
        <w:rPr>
          <w:rFonts w:asciiTheme="minorHAnsi" w:hAnsiTheme="minorHAnsi" w:cstheme="minorHAnsi"/>
          <w:sz w:val="24"/>
          <w:szCs w:val="24"/>
        </w:rPr>
        <w:br/>
        <w:t>w ramach PSF, wraz z danymi kontaktowymi, podstawowymi charakterystykami oraz zakresem otrzymanych usług</w:t>
      </w:r>
      <w:r w:rsidRPr="00FE708B">
        <w:rPr>
          <w:rStyle w:val="Odwoanieprzypisudolnego"/>
          <w:rFonts w:asciiTheme="minorHAnsi" w:hAnsiTheme="minorHAnsi" w:cstheme="minorHAnsi"/>
          <w:sz w:val="24"/>
          <w:szCs w:val="24"/>
        </w:rPr>
        <w:footnoteReference w:id="20"/>
      </w:r>
      <w:r w:rsidRPr="00FE708B">
        <w:rPr>
          <w:rFonts w:asciiTheme="minorHAnsi" w:hAnsiTheme="minorHAnsi" w:cstheme="minorHAnsi"/>
          <w:sz w:val="24"/>
          <w:szCs w:val="24"/>
        </w:rPr>
        <w:t>.</w:t>
      </w:r>
    </w:p>
    <w:p w14:paraId="6AA64265" w14:textId="77777777" w:rsidR="00331A54" w:rsidRPr="00FE708B" w:rsidRDefault="00331A54"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Operat badawczy, zawierający listę pracowników oraz osób fizycznych, którzy skorzystali z usług rozwojowych w ramach PSF, wraz z danymi kontaktowymi, podstawowymi charakterystykami oraz zakresem otrzymanych usług</w:t>
      </w:r>
      <w:r w:rsidRPr="00FE708B">
        <w:rPr>
          <w:rStyle w:val="Odwoanieprzypisudolnego"/>
          <w:rFonts w:asciiTheme="minorHAnsi" w:hAnsiTheme="minorHAnsi" w:cstheme="minorHAnsi"/>
          <w:sz w:val="24"/>
          <w:szCs w:val="24"/>
        </w:rPr>
        <w:footnoteReference w:id="21"/>
      </w:r>
      <w:r w:rsidRPr="00FE708B">
        <w:rPr>
          <w:rFonts w:asciiTheme="minorHAnsi" w:hAnsiTheme="minorHAnsi" w:cstheme="minorHAnsi"/>
          <w:sz w:val="24"/>
          <w:szCs w:val="24"/>
        </w:rPr>
        <w:t>.</w:t>
      </w:r>
    </w:p>
    <w:p w14:paraId="074E1E3F" w14:textId="77777777" w:rsidR="004223E0" w:rsidRPr="00FE708B" w:rsidRDefault="004223E0"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 xml:space="preserve">Operat badawczy zawierający dane kontaktowe do operatorów. </w:t>
      </w:r>
    </w:p>
    <w:p w14:paraId="5AEB0C89" w14:textId="77777777" w:rsidR="004223E0" w:rsidRPr="00FE708B" w:rsidRDefault="004223E0"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Operat będzie liczył około:</w:t>
      </w:r>
    </w:p>
    <w:p w14:paraId="064CBFB6" w14:textId="77777777" w:rsidR="004223E0" w:rsidRPr="00FE708B" w:rsidRDefault="004223E0"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126 tys. rekordów klientów (pracowników przedsiębiorstw),</w:t>
      </w:r>
    </w:p>
    <w:p w14:paraId="496357B9" w14:textId="77777777" w:rsidR="004223E0" w:rsidRPr="00FE708B" w:rsidRDefault="004223E0"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37 tys. rekordów klientów (przedsiębiorców),</w:t>
      </w:r>
    </w:p>
    <w:p w14:paraId="03292D4D" w14:textId="77777777" w:rsidR="004223E0" w:rsidRPr="00FE708B" w:rsidRDefault="004223E0"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37 tys. rekordów klientów indywidualnych (osoby fizyczne korzystające ze wsparcia bez pośrednictwa przedsiębiorcy),</w:t>
      </w:r>
    </w:p>
    <w:p w14:paraId="5DBB9553" w14:textId="7A381D10" w:rsidR="006B0D48" w:rsidRPr="00FE708B" w:rsidRDefault="004223E0" w:rsidP="009B4369">
      <w:pPr>
        <w:pStyle w:val="Akapitzlist"/>
        <w:numPr>
          <w:ilvl w:val="0"/>
          <w:numId w:val="16"/>
        </w:numPr>
        <w:spacing w:before="120" w:after="120" w:line="360" w:lineRule="auto"/>
        <w:ind w:left="426" w:hanging="284"/>
        <w:contextualSpacing w:val="0"/>
        <w:rPr>
          <w:rFonts w:asciiTheme="minorHAnsi" w:hAnsiTheme="minorHAnsi" w:cstheme="minorHAnsi"/>
          <w:sz w:val="24"/>
          <w:szCs w:val="24"/>
        </w:rPr>
      </w:pPr>
      <w:r w:rsidRPr="00FE708B">
        <w:rPr>
          <w:rFonts w:asciiTheme="minorHAnsi" w:hAnsiTheme="minorHAnsi" w:cstheme="minorHAnsi"/>
          <w:sz w:val="24"/>
          <w:szCs w:val="24"/>
        </w:rPr>
        <w:t>4 tys. rekordów usługodawców.</w:t>
      </w:r>
    </w:p>
    <w:p w14:paraId="005C6D65" w14:textId="77777777" w:rsidR="00165867" w:rsidRPr="00FE708B" w:rsidRDefault="00D53258" w:rsidP="001B56C4">
      <w:pPr>
        <w:pStyle w:val="N3"/>
        <w:rPr>
          <w:rFonts w:asciiTheme="minorHAnsi" w:hAnsiTheme="minorHAnsi" w:cstheme="minorHAnsi"/>
        </w:rPr>
      </w:pPr>
      <w:bookmarkStart w:id="12" w:name="_Toc8896933"/>
      <w:r w:rsidRPr="00FE708B">
        <w:rPr>
          <w:rFonts w:asciiTheme="minorHAnsi" w:hAnsiTheme="minorHAnsi" w:cstheme="minorHAnsi"/>
        </w:rPr>
        <w:t>Badan</w:t>
      </w:r>
      <w:r w:rsidR="00EF3FFD" w:rsidRPr="00FE708B">
        <w:rPr>
          <w:rFonts w:asciiTheme="minorHAnsi" w:hAnsiTheme="minorHAnsi" w:cstheme="minorHAnsi"/>
        </w:rPr>
        <w:t>i</w:t>
      </w:r>
      <w:r w:rsidRPr="00FE708B">
        <w:rPr>
          <w:rFonts w:asciiTheme="minorHAnsi" w:hAnsiTheme="minorHAnsi" w:cstheme="minorHAnsi"/>
        </w:rPr>
        <w:t>e jakościowe etapu właściwego</w:t>
      </w:r>
      <w:bookmarkEnd w:id="12"/>
    </w:p>
    <w:p w14:paraId="74DD76CF" w14:textId="77777777" w:rsidR="0077012C" w:rsidRPr="00FE708B" w:rsidRDefault="0077012C"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Technika badania będzie analogiczna, jak w przypadku badania jakościowego realizowanego w części wstępnej. Badanie obejmie następujące grupy</w:t>
      </w:r>
      <w:r w:rsidR="005D7EF0" w:rsidRPr="00FE708B">
        <w:rPr>
          <w:rFonts w:asciiTheme="minorHAnsi" w:eastAsiaTheme="minorHAnsi" w:hAnsiTheme="minorHAnsi" w:cstheme="minorHAnsi"/>
          <w:lang w:eastAsia="en-US"/>
        </w:rPr>
        <w:t xml:space="preserve"> (pomijając jednostki obserwacji biorące udział w badaniach jakościowych w ramach etapu wstępnego)</w:t>
      </w:r>
      <w:r w:rsidRPr="00FE708B">
        <w:rPr>
          <w:rFonts w:asciiTheme="minorHAnsi" w:eastAsiaTheme="minorHAnsi" w:hAnsiTheme="minorHAnsi" w:cstheme="minorHAnsi"/>
          <w:lang w:eastAsia="en-US"/>
        </w:rPr>
        <w:t>: a) przedsiębiorcy korzystający z BUR/PSF, b) operatorzy, c) usługodawcy – podmioty świadczące usługi za pośrednictwem BUR/PSF.</w:t>
      </w:r>
      <w:r w:rsidR="006F35F2" w:rsidRPr="00FE708B">
        <w:rPr>
          <w:rFonts w:asciiTheme="minorHAnsi" w:eastAsiaTheme="minorHAnsi" w:hAnsiTheme="minorHAnsi" w:cstheme="minorHAnsi"/>
          <w:lang w:eastAsia="en-US"/>
        </w:rPr>
        <w:t xml:space="preserve"> Celem badania będzie odpowiedź na postawione w OPZ pytania badawcze.</w:t>
      </w:r>
    </w:p>
    <w:p w14:paraId="6F23C91A" w14:textId="77777777" w:rsidR="008D09D2" w:rsidRPr="00FE708B" w:rsidRDefault="008D09D2" w:rsidP="00E97F99">
      <w:pPr>
        <w:pStyle w:val="Legenda"/>
        <w:keepNext/>
        <w:spacing w:before="120" w:after="120" w:line="360" w:lineRule="auto"/>
        <w:rPr>
          <w:rFonts w:cstheme="minorHAnsi"/>
          <w:b/>
          <w:sz w:val="24"/>
          <w:szCs w:val="24"/>
        </w:rPr>
      </w:pPr>
      <w:r w:rsidRPr="00FE708B">
        <w:rPr>
          <w:rFonts w:cstheme="minorHAnsi"/>
          <w:b/>
          <w:sz w:val="24"/>
          <w:szCs w:val="24"/>
        </w:rPr>
        <w:lastRenderedPageBreak/>
        <w:t xml:space="preserve">Tabela </w:t>
      </w:r>
      <w:r w:rsidRPr="00FE708B">
        <w:rPr>
          <w:rFonts w:cstheme="minorHAnsi"/>
          <w:b/>
          <w:sz w:val="24"/>
          <w:szCs w:val="24"/>
        </w:rPr>
        <w:fldChar w:fldCharType="begin"/>
      </w:r>
      <w:r w:rsidRPr="00FE708B">
        <w:rPr>
          <w:rFonts w:cstheme="minorHAnsi"/>
          <w:b/>
          <w:sz w:val="24"/>
          <w:szCs w:val="24"/>
        </w:rPr>
        <w:instrText xml:space="preserve"> SEQ Tabela \* ARABIC </w:instrText>
      </w:r>
      <w:r w:rsidRPr="00FE708B">
        <w:rPr>
          <w:rFonts w:cstheme="minorHAnsi"/>
          <w:b/>
          <w:sz w:val="24"/>
          <w:szCs w:val="24"/>
        </w:rPr>
        <w:fldChar w:fldCharType="separate"/>
      </w:r>
      <w:r w:rsidRPr="00FE708B">
        <w:rPr>
          <w:rFonts w:cstheme="minorHAnsi"/>
          <w:b/>
          <w:noProof/>
          <w:sz w:val="24"/>
          <w:szCs w:val="24"/>
        </w:rPr>
        <w:t>3</w:t>
      </w:r>
      <w:r w:rsidRPr="00FE708B">
        <w:rPr>
          <w:rFonts w:cstheme="minorHAnsi"/>
          <w:b/>
          <w:sz w:val="24"/>
          <w:szCs w:val="24"/>
        </w:rPr>
        <w:fldChar w:fldCharType="end"/>
      </w:r>
      <w:r w:rsidRPr="00FE708B">
        <w:rPr>
          <w:rFonts w:cstheme="minorHAnsi"/>
          <w:b/>
          <w:sz w:val="24"/>
          <w:szCs w:val="24"/>
        </w:rPr>
        <w:t xml:space="preserve"> Opis próby badania jakościowego części właściwej</w:t>
      </w:r>
    </w:p>
    <w:tbl>
      <w:tblPr>
        <w:tblStyle w:val="Tabela-Siatka"/>
        <w:tblW w:w="0" w:type="auto"/>
        <w:tblLayout w:type="fixed"/>
        <w:tblLook w:val="04A0" w:firstRow="1" w:lastRow="0" w:firstColumn="1" w:lastColumn="0" w:noHBand="0" w:noVBand="1"/>
      </w:tblPr>
      <w:tblGrid>
        <w:gridCol w:w="2265"/>
        <w:gridCol w:w="2266"/>
        <w:gridCol w:w="2265"/>
        <w:gridCol w:w="2266"/>
      </w:tblGrid>
      <w:tr w:rsidR="008D09D2" w:rsidRPr="00FE708B" w14:paraId="0B4F3A54" w14:textId="77777777" w:rsidTr="00E97F99">
        <w:tc>
          <w:tcPr>
            <w:tcW w:w="2265" w:type="dxa"/>
            <w:vAlign w:val="center"/>
          </w:tcPr>
          <w:p w14:paraId="4AE6D3DE" w14:textId="77777777" w:rsidR="008D09D2" w:rsidRPr="00FE708B" w:rsidRDefault="008D09D2"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Badana populacja</w:t>
            </w:r>
          </w:p>
        </w:tc>
        <w:tc>
          <w:tcPr>
            <w:tcW w:w="2266" w:type="dxa"/>
            <w:vAlign w:val="center"/>
          </w:tcPr>
          <w:p w14:paraId="145ADB5F" w14:textId="77777777" w:rsidR="008D09D2" w:rsidRPr="00FE708B" w:rsidRDefault="008D09D2"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Jednostka próby</w:t>
            </w:r>
          </w:p>
        </w:tc>
        <w:tc>
          <w:tcPr>
            <w:tcW w:w="2265" w:type="dxa"/>
            <w:vAlign w:val="center"/>
          </w:tcPr>
          <w:p w14:paraId="7C9E7851" w14:textId="77777777" w:rsidR="008D09D2" w:rsidRPr="00FE708B" w:rsidRDefault="008D09D2" w:rsidP="00E97F99">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Wielkość próby</w:t>
            </w:r>
          </w:p>
        </w:tc>
        <w:tc>
          <w:tcPr>
            <w:tcW w:w="2266" w:type="dxa"/>
            <w:vAlign w:val="center"/>
          </w:tcPr>
          <w:p w14:paraId="667AAD17" w14:textId="77777777" w:rsidR="008D09D2" w:rsidRPr="00FE708B" w:rsidRDefault="00C07BDA" w:rsidP="00C07BDA">
            <w:pPr>
              <w:pStyle w:val="NormalnyWeb"/>
              <w:spacing w:before="120" w:after="120" w:line="360" w:lineRule="auto"/>
              <w:jc w:val="center"/>
              <w:rPr>
                <w:rFonts w:asciiTheme="minorHAnsi" w:eastAsiaTheme="minorHAnsi" w:hAnsiTheme="minorHAnsi" w:cstheme="minorHAnsi"/>
                <w:b/>
                <w:lang w:eastAsia="en-US"/>
              </w:rPr>
            </w:pPr>
            <w:r w:rsidRPr="00FE708B">
              <w:rPr>
                <w:rFonts w:asciiTheme="minorHAnsi" w:eastAsiaTheme="minorHAnsi" w:hAnsiTheme="minorHAnsi" w:cstheme="minorHAnsi"/>
                <w:b/>
                <w:lang w:eastAsia="en-US"/>
              </w:rPr>
              <w:t>Technika, n</w:t>
            </w:r>
            <w:r w:rsidR="008D09D2" w:rsidRPr="00FE708B">
              <w:rPr>
                <w:rFonts w:asciiTheme="minorHAnsi" w:eastAsiaTheme="minorHAnsi" w:hAnsiTheme="minorHAnsi" w:cstheme="minorHAnsi"/>
                <w:b/>
                <w:lang w:eastAsia="en-US"/>
              </w:rPr>
              <w:t>arzędzie badawcze, czas wywiadu, dobór próby</w:t>
            </w:r>
          </w:p>
        </w:tc>
      </w:tr>
      <w:tr w:rsidR="008D09D2" w:rsidRPr="00FE708B" w14:paraId="04F405C1" w14:textId="77777777" w:rsidTr="00E97F99">
        <w:tc>
          <w:tcPr>
            <w:tcW w:w="2265" w:type="dxa"/>
          </w:tcPr>
          <w:p w14:paraId="797D5C5D" w14:textId="77777777" w:rsidR="008D09D2" w:rsidRPr="00FE708B" w:rsidRDefault="008D09D2" w:rsidP="009B4369">
            <w:pPr>
              <w:pStyle w:val="NormalnyWeb"/>
              <w:numPr>
                <w:ilvl w:val="0"/>
                <w:numId w:val="18"/>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Operatorzy – podmioty do których zadań należy kompleksowa obsługa przedsiębiorcy, m.in. przyjmowanie, ocenianie i rozliczanie wniosków o wsparcie, działania kontrolne oraz monitoringowe (np. sprawdzanie zgodności z oczekiwanym standardem świadczonych usług rozwojowych). </w:t>
            </w:r>
          </w:p>
          <w:p w14:paraId="594D504C" w14:textId="77777777" w:rsidR="008D09D2" w:rsidRPr="00FE708B" w:rsidRDefault="008D09D2" w:rsidP="00E97F99">
            <w:pPr>
              <w:pStyle w:val="NormalnyWeb"/>
              <w:spacing w:before="120" w:after="120" w:line="360" w:lineRule="auto"/>
              <w:ind w:left="449"/>
              <w:rPr>
                <w:rFonts w:asciiTheme="minorHAnsi" w:eastAsiaTheme="minorHAnsi" w:hAnsiTheme="minorHAnsi" w:cstheme="minorHAnsi"/>
                <w:lang w:eastAsia="en-US"/>
              </w:rPr>
            </w:pPr>
          </w:p>
        </w:tc>
        <w:tc>
          <w:tcPr>
            <w:tcW w:w="2266" w:type="dxa"/>
          </w:tcPr>
          <w:p w14:paraId="060E5ED6" w14:textId="77777777" w:rsidR="008D09D2" w:rsidRPr="00FE708B" w:rsidRDefault="00463225" w:rsidP="00E97F99">
            <w:pPr>
              <w:pStyle w:val="NormalnyWeb"/>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zarządzająca projektem</w:t>
            </w:r>
          </w:p>
        </w:tc>
        <w:tc>
          <w:tcPr>
            <w:tcW w:w="2265" w:type="dxa"/>
          </w:tcPr>
          <w:p w14:paraId="7058E871" w14:textId="77777777" w:rsidR="008D09D2" w:rsidRPr="00FE708B" w:rsidRDefault="008D09D2" w:rsidP="00E97F99">
            <w:pPr>
              <w:pStyle w:val="NormalnyWeb"/>
              <w:spacing w:before="120" w:after="120" w:line="360" w:lineRule="auto"/>
              <w:ind w:left="256"/>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n=15</w:t>
            </w:r>
          </w:p>
          <w:p w14:paraId="1DDA39CE" w14:textId="77777777" w:rsidR="008D09D2" w:rsidRPr="00FE708B" w:rsidRDefault="008D09D2" w:rsidP="00E97F99">
            <w:pPr>
              <w:pStyle w:val="NormalnyWeb"/>
              <w:spacing w:before="120" w:after="120" w:line="360" w:lineRule="auto"/>
              <w:ind w:left="256"/>
              <w:rPr>
                <w:rFonts w:asciiTheme="minorHAnsi" w:eastAsiaTheme="minorHAnsi" w:hAnsiTheme="minorHAnsi" w:cstheme="minorHAnsi"/>
                <w:lang w:eastAsia="en-US"/>
              </w:rPr>
            </w:pPr>
          </w:p>
        </w:tc>
        <w:tc>
          <w:tcPr>
            <w:tcW w:w="2266" w:type="dxa"/>
          </w:tcPr>
          <w:p w14:paraId="57E845F6" w14:textId="77777777" w:rsidR="005545F1" w:rsidRPr="00FE708B" w:rsidRDefault="005545F1"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TDI</w:t>
            </w:r>
          </w:p>
          <w:p w14:paraId="04D0DC11"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5B9728A7"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+/- 60 minut </w:t>
            </w:r>
          </w:p>
          <w:p w14:paraId="50FF7C83" w14:textId="77777777" w:rsidR="008D09D2" w:rsidRPr="00FE708B" w:rsidRDefault="008D09D2"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Dobór próby – ekspercki, potencjalni respondenci zostaną wskazani przez Wykonawcę lub przez przedstawicieli IZ RPO, niemniej alokacja próby powinna uwzględniać zróżnicowanie modeli dystrybucji środków w ramach PSF.</w:t>
            </w:r>
          </w:p>
          <w:p w14:paraId="7458925E"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p>
        </w:tc>
      </w:tr>
      <w:tr w:rsidR="008D09D2" w:rsidRPr="00FE708B" w14:paraId="6D438A5E" w14:textId="77777777" w:rsidTr="00E97F99">
        <w:tc>
          <w:tcPr>
            <w:tcW w:w="2265" w:type="dxa"/>
          </w:tcPr>
          <w:p w14:paraId="208D7C48" w14:textId="77777777" w:rsidR="008D09D2" w:rsidRPr="00FE708B" w:rsidRDefault="008D09D2" w:rsidP="009B4369">
            <w:pPr>
              <w:pStyle w:val="NormalnyWeb"/>
              <w:numPr>
                <w:ilvl w:val="0"/>
                <w:numId w:val="18"/>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Przedsiębiorstwa, których pracownicy skorzystali z usług rozwojowych za pośrednictwem BUR  </w:t>
            </w:r>
          </w:p>
        </w:tc>
        <w:tc>
          <w:tcPr>
            <w:tcW w:w="2266" w:type="dxa"/>
          </w:tcPr>
          <w:p w14:paraId="6EE58E5A" w14:textId="77777777" w:rsidR="008D09D2" w:rsidRPr="00FE708B" w:rsidRDefault="008D09D2" w:rsidP="00E97F99">
            <w:pPr>
              <w:pStyle w:val="NormalnyWeb"/>
              <w:spacing w:before="120" w:after="120" w:line="360" w:lineRule="auto"/>
              <w:ind w:left="320"/>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Osoba, która w imieniu przedsiębiorcy prowadziła prace związane z kierowaniem pracowników na szkolenia</w:t>
            </w:r>
          </w:p>
        </w:tc>
        <w:tc>
          <w:tcPr>
            <w:tcW w:w="2265" w:type="dxa"/>
          </w:tcPr>
          <w:p w14:paraId="7792F55F" w14:textId="77777777" w:rsidR="008D09D2" w:rsidRPr="00FE708B" w:rsidRDefault="008D09D2" w:rsidP="00A04CD2">
            <w:pPr>
              <w:pStyle w:val="NormalnyWeb"/>
              <w:numPr>
                <w:ilvl w:val="0"/>
                <w:numId w:val="11"/>
              </w:numPr>
              <w:spacing w:before="120" w:after="120" w:line="360" w:lineRule="auto"/>
              <w:ind w:left="32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w:t>
            </w:r>
            <w:r w:rsidR="00A04CD2" w:rsidRPr="00FE708B">
              <w:rPr>
                <w:rFonts w:asciiTheme="minorHAnsi" w:eastAsiaTheme="minorHAnsi" w:hAnsiTheme="minorHAnsi" w:cstheme="minorHAnsi"/>
                <w:lang w:eastAsia="en-US"/>
              </w:rPr>
              <w:t>18</w:t>
            </w:r>
          </w:p>
        </w:tc>
        <w:tc>
          <w:tcPr>
            <w:tcW w:w="2266" w:type="dxa"/>
          </w:tcPr>
          <w:p w14:paraId="5BDC4641" w14:textId="77777777" w:rsidR="005545F1" w:rsidRPr="00FE708B" w:rsidRDefault="005545F1"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n=9 IDI n=9 TDI</w:t>
            </w:r>
          </w:p>
          <w:p w14:paraId="2C80187C"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493823F7"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t= +/- 30-40 minut </w:t>
            </w:r>
          </w:p>
          <w:p w14:paraId="09C8892F" w14:textId="77777777" w:rsidR="008D09D2" w:rsidRPr="00FE708B" w:rsidRDefault="008D09D2" w:rsidP="00A04CD2">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 zostanie ustalony na etapie opracowywania wstępnego raportu metodologicznego, dotyczy to zwłaszcza takich cech jak: wielkość przedsiębiorstwa, branża oraz lokalizacja. Niemniej, alokacja próby powinna umożliwiać grupowanie respondentów według poszczególnych modeli dystrybucji środków w ramach PSF (po </w:t>
            </w:r>
            <w:r w:rsidR="00A04CD2" w:rsidRPr="00FE708B">
              <w:rPr>
                <w:rFonts w:asciiTheme="minorHAnsi" w:eastAsiaTheme="minorHAnsi" w:hAnsiTheme="minorHAnsi" w:cstheme="minorHAnsi"/>
                <w:lang w:eastAsia="en-US"/>
              </w:rPr>
              <w:t>6</w:t>
            </w:r>
            <w:r w:rsidRPr="00FE708B">
              <w:rPr>
                <w:rFonts w:asciiTheme="minorHAnsi" w:eastAsiaTheme="minorHAnsi" w:hAnsiTheme="minorHAnsi" w:cstheme="minorHAnsi"/>
                <w:lang w:eastAsia="en-US"/>
              </w:rPr>
              <w:t xml:space="preserve"> wywiadów na model).</w:t>
            </w:r>
          </w:p>
        </w:tc>
      </w:tr>
      <w:tr w:rsidR="008D09D2" w:rsidRPr="00FE708B" w14:paraId="12EB3810" w14:textId="77777777" w:rsidTr="00E97F99">
        <w:tc>
          <w:tcPr>
            <w:tcW w:w="2265" w:type="dxa"/>
          </w:tcPr>
          <w:p w14:paraId="53201E20" w14:textId="77777777" w:rsidR="008D09D2" w:rsidRPr="00FE708B" w:rsidRDefault="008D09D2" w:rsidP="009B4369">
            <w:pPr>
              <w:pStyle w:val="NormalnyWeb"/>
              <w:numPr>
                <w:ilvl w:val="0"/>
                <w:numId w:val="18"/>
              </w:numPr>
              <w:spacing w:before="120" w:after="120" w:line="360" w:lineRule="auto"/>
              <w:ind w:left="30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Firmy świadczące usługi za </w:t>
            </w:r>
            <w:r w:rsidRPr="00FE708B">
              <w:rPr>
                <w:rFonts w:asciiTheme="minorHAnsi" w:eastAsiaTheme="minorHAnsi" w:hAnsiTheme="minorHAnsi" w:cstheme="minorHAnsi"/>
                <w:lang w:eastAsia="en-US"/>
              </w:rPr>
              <w:lastRenderedPageBreak/>
              <w:t>pośrednictwem BUR</w:t>
            </w:r>
            <w:r w:rsidR="00FF5F88" w:rsidRPr="00FE708B">
              <w:rPr>
                <w:rStyle w:val="Odwoanieprzypisudolnego"/>
                <w:rFonts w:asciiTheme="minorHAnsi" w:eastAsiaTheme="minorHAnsi" w:hAnsiTheme="minorHAnsi" w:cstheme="minorHAnsi"/>
                <w:lang w:eastAsia="en-US"/>
              </w:rPr>
              <w:footnoteReference w:id="22"/>
            </w:r>
          </w:p>
        </w:tc>
        <w:tc>
          <w:tcPr>
            <w:tcW w:w="2266" w:type="dxa"/>
          </w:tcPr>
          <w:p w14:paraId="123093B6" w14:textId="77777777" w:rsidR="008D09D2" w:rsidRPr="00FE708B" w:rsidRDefault="008D09D2" w:rsidP="00E97F99">
            <w:pPr>
              <w:pStyle w:val="NormalnyWeb"/>
              <w:spacing w:before="120" w:after="120" w:line="360" w:lineRule="auto"/>
              <w:ind w:left="331"/>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Osoba odpowiedzialna za sprawy </w:t>
            </w:r>
            <w:r w:rsidRPr="00FE708B">
              <w:rPr>
                <w:rFonts w:asciiTheme="minorHAnsi" w:eastAsiaTheme="minorHAnsi" w:hAnsiTheme="minorHAnsi" w:cstheme="minorHAnsi"/>
                <w:lang w:eastAsia="en-US"/>
              </w:rPr>
              <w:lastRenderedPageBreak/>
              <w:t>formalne związane z obecnością firmy w BUR</w:t>
            </w:r>
          </w:p>
        </w:tc>
        <w:tc>
          <w:tcPr>
            <w:tcW w:w="2265" w:type="dxa"/>
          </w:tcPr>
          <w:p w14:paraId="6C9F57AD" w14:textId="77777777" w:rsidR="008D09D2" w:rsidRPr="00FE708B" w:rsidRDefault="008D09D2" w:rsidP="00704ED3">
            <w:pPr>
              <w:pStyle w:val="NormalnyWeb"/>
              <w:spacing w:before="120" w:after="120" w:line="360" w:lineRule="auto"/>
              <w:ind w:left="278"/>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n=</w:t>
            </w:r>
            <w:r w:rsidR="00704ED3" w:rsidRPr="00FE708B">
              <w:rPr>
                <w:rFonts w:asciiTheme="minorHAnsi" w:eastAsiaTheme="minorHAnsi" w:hAnsiTheme="minorHAnsi" w:cstheme="minorHAnsi"/>
                <w:lang w:eastAsia="en-US"/>
              </w:rPr>
              <w:t>15</w:t>
            </w:r>
          </w:p>
        </w:tc>
        <w:tc>
          <w:tcPr>
            <w:tcW w:w="2266" w:type="dxa"/>
          </w:tcPr>
          <w:p w14:paraId="37F36848" w14:textId="77777777" w:rsidR="005545F1" w:rsidRPr="00FE708B" w:rsidRDefault="005545F1"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n=8 IDI, n=7 TDI</w:t>
            </w:r>
          </w:p>
          <w:p w14:paraId="0FF4634F"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Strukturyzowany scenariusz wywiadu</w:t>
            </w:r>
          </w:p>
          <w:p w14:paraId="2D927650" w14:textId="77777777" w:rsidR="008D09D2" w:rsidRPr="00FE708B" w:rsidRDefault="008D09D2" w:rsidP="00E97F99">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t= +/- 40-60 minut </w:t>
            </w:r>
          </w:p>
          <w:p w14:paraId="66D19FC5" w14:textId="77777777" w:rsidR="008D09D2" w:rsidRPr="00FE708B" w:rsidRDefault="008D09D2" w:rsidP="00FF5F88">
            <w:pPr>
              <w:pStyle w:val="NormalnyWeb"/>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Dobór próby – ostateczny dobór próby zostanie ustalony na etapie opracowywania wstępnego raportu metodologicznego, dotyczy to zwłaszcza takich cech, jak wielkość przedsiębiorstwa, </w:t>
            </w:r>
            <w:r w:rsidR="00A04CD2" w:rsidRPr="00FE708B">
              <w:rPr>
                <w:rFonts w:asciiTheme="minorHAnsi" w:eastAsiaTheme="minorHAnsi" w:hAnsiTheme="minorHAnsi" w:cstheme="minorHAnsi"/>
                <w:lang w:eastAsia="en-US"/>
              </w:rPr>
              <w:t>tematyka szkoleń</w:t>
            </w:r>
            <w:r w:rsidRPr="00FE708B">
              <w:rPr>
                <w:rFonts w:asciiTheme="minorHAnsi" w:eastAsiaTheme="minorHAnsi" w:hAnsiTheme="minorHAnsi" w:cstheme="minorHAnsi"/>
                <w:lang w:eastAsia="en-US"/>
              </w:rPr>
              <w:t xml:space="preserve"> oraz lokalizacja. Niemniej przyjmujemy, że alokacja próby powinna umożliwiać grupowanie respondentów według poszczególnych modeli dystrybucji środków w ramach PSF (po </w:t>
            </w:r>
            <w:r w:rsidR="00FF5F88" w:rsidRPr="00FE708B">
              <w:rPr>
                <w:rFonts w:asciiTheme="minorHAnsi" w:eastAsiaTheme="minorHAnsi" w:hAnsiTheme="minorHAnsi" w:cstheme="minorHAnsi"/>
                <w:lang w:eastAsia="en-US"/>
              </w:rPr>
              <w:t>5</w:t>
            </w:r>
            <w:r w:rsidRPr="00FE708B">
              <w:rPr>
                <w:rFonts w:asciiTheme="minorHAnsi" w:eastAsiaTheme="minorHAnsi" w:hAnsiTheme="minorHAnsi" w:cstheme="minorHAnsi"/>
                <w:lang w:eastAsia="en-US"/>
              </w:rPr>
              <w:t xml:space="preserve"> wywiadów na model).</w:t>
            </w:r>
          </w:p>
        </w:tc>
      </w:tr>
    </w:tbl>
    <w:p w14:paraId="64D27C13" w14:textId="77777777" w:rsidR="00A93DA6"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Łącznie Wykonawca </w:t>
      </w:r>
      <w:r w:rsidR="0018102E" w:rsidRPr="00FE708B">
        <w:rPr>
          <w:rFonts w:asciiTheme="minorHAnsi" w:eastAsiaTheme="minorHAnsi" w:hAnsiTheme="minorHAnsi" w:cstheme="minorHAnsi"/>
          <w:lang w:eastAsia="en-US"/>
        </w:rPr>
        <w:t xml:space="preserve">w tej części </w:t>
      </w:r>
      <w:r w:rsidRPr="00FE708B">
        <w:rPr>
          <w:rFonts w:asciiTheme="minorHAnsi" w:eastAsiaTheme="minorHAnsi" w:hAnsiTheme="minorHAnsi" w:cstheme="minorHAnsi"/>
          <w:lang w:eastAsia="en-US"/>
        </w:rPr>
        <w:t xml:space="preserve">przeprowadzi </w:t>
      </w:r>
      <w:r w:rsidR="006506F0" w:rsidRPr="00FE708B">
        <w:rPr>
          <w:rFonts w:asciiTheme="minorHAnsi" w:eastAsiaTheme="minorHAnsi" w:hAnsiTheme="minorHAnsi" w:cstheme="minorHAnsi"/>
          <w:lang w:eastAsia="en-US"/>
        </w:rPr>
        <w:t>48</w:t>
      </w:r>
      <w:r w:rsidRPr="00FE708B">
        <w:rPr>
          <w:rFonts w:asciiTheme="minorHAnsi" w:eastAsiaTheme="minorHAnsi" w:hAnsiTheme="minorHAnsi" w:cstheme="minorHAnsi"/>
          <w:lang w:eastAsia="en-US"/>
        </w:rPr>
        <w:t xml:space="preserve"> wywiadów. </w:t>
      </w:r>
    </w:p>
    <w:p w14:paraId="070FF26C" w14:textId="77777777" w:rsidR="00D74067" w:rsidRPr="00FE708B" w:rsidRDefault="00D74067" w:rsidP="00E97F99">
      <w:pPr>
        <w:pStyle w:val="NormalnyWeb"/>
        <w:shd w:val="clear" w:color="auto" w:fill="FFFFFF"/>
        <w:spacing w:before="120" w:after="120" w:line="360" w:lineRule="auto"/>
        <w:rPr>
          <w:rFonts w:asciiTheme="minorHAnsi" w:eastAsiaTheme="minorHAnsi" w:hAnsiTheme="minorHAnsi" w:cstheme="minorHAnsi"/>
          <w:lang w:eastAsia="en-US"/>
        </w:rPr>
      </w:pPr>
    </w:p>
    <w:p w14:paraId="79EEE2EE" w14:textId="77777777" w:rsidR="00A93DA6" w:rsidRPr="00FE708B" w:rsidRDefault="00A93DA6" w:rsidP="001B56C4">
      <w:pPr>
        <w:pStyle w:val="N2"/>
        <w:rPr>
          <w:rFonts w:asciiTheme="minorHAnsi" w:hAnsiTheme="minorHAnsi" w:cstheme="minorHAnsi"/>
        </w:rPr>
      </w:pPr>
      <w:bookmarkStart w:id="13" w:name="_Toc8896934"/>
      <w:r w:rsidRPr="00FE708B">
        <w:rPr>
          <w:rFonts w:asciiTheme="minorHAnsi" w:hAnsiTheme="minorHAnsi" w:cstheme="minorHAnsi"/>
        </w:rPr>
        <w:t>Cześć podsumowująca</w:t>
      </w:r>
      <w:bookmarkEnd w:id="13"/>
    </w:p>
    <w:p w14:paraId="5C84B23B" w14:textId="21C149BB" w:rsidR="00A93DA6" w:rsidRPr="00FE708B"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Po zakończeniu części właściwej badania Wykonawca przeprowadzi analizę statystyczną oraz analizę jakościową, przy czym w przypadku tej drugiej oczekuje się, że będzie ona prowadzona systematycznie, tzn. po zakończeniu każdego wywiadu i sporządzeniu transkrypcji materiał ten będzie przesyłany badaczom, a ci na bieżąco </w:t>
      </w:r>
      <w:r w:rsidR="007001DF" w:rsidRPr="00FE708B">
        <w:rPr>
          <w:rFonts w:asciiTheme="minorHAnsi" w:eastAsiaTheme="minorHAnsi" w:hAnsiTheme="minorHAnsi" w:cstheme="minorHAnsi"/>
          <w:lang w:eastAsia="en-US"/>
        </w:rPr>
        <w:t xml:space="preserve">będą </w:t>
      </w:r>
      <w:r w:rsidRPr="00FE708B">
        <w:rPr>
          <w:rFonts w:asciiTheme="minorHAnsi" w:eastAsiaTheme="minorHAnsi" w:hAnsiTheme="minorHAnsi" w:cstheme="minorHAnsi"/>
          <w:lang w:eastAsia="en-US"/>
        </w:rPr>
        <w:t xml:space="preserve">analizować </w:t>
      </w:r>
      <w:r w:rsidR="00D74067">
        <w:rPr>
          <w:rFonts w:asciiTheme="minorHAnsi" w:eastAsiaTheme="minorHAnsi" w:hAnsiTheme="minorHAnsi" w:cstheme="minorHAnsi"/>
          <w:lang w:eastAsia="en-US"/>
        </w:rPr>
        <w:br/>
      </w:r>
      <w:r w:rsidR="00272328" w:rsidRPr="00FE708B">
        <w:rPr>
          <w:rFonts w:asciiTheme="minorHAnsi" w:eastAsiaTheme="minorHAnsi" w:hAnsiTheme="minorHAnsi" w:cstheme="minorHAnsi"/>
          <w:lang w:eastAsia="en-US"/>
        </w:rPr>
        <w:t xml:space="preserve">(w tym kodować) </w:t>
      </w:r>
      <w:r w:rsidRPr="00FE708B">
        <w:rPr>
          <w:rFonts w:asciiTheme="minorHAnsi" w:eastAsiaTheme="minorHAnsi" w:hAnsiTheme="minorHAnsi" w:cstheme="minorHAnsi"/>
          <w:lang w:eastAsia="en-US"/>
        </w:rPr>
        <w:t xml:space="preserve">pozyskane treści. </w:t>
      </w:r>
    </w:p>
    <w:p w14:paraId="69B65F51" w14:textId="77777777" w:rsidR="00A93DA6" w:rsidRPr="00FE708B"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Pierwszym efektem tych prac powinien być raport typu top-line. </w:t>
      </w:r>
    </w:p>
    <w:p w14:paraId="1473971F" w14:textId="77777777" w:rsidR="00A93DA6" w:rsidRPr="00FE708B" w:rsidRDefault="002269B1" w:rsidP="001B56C4">
      <w:pPr>
        <w:pStyle w:val="N3"/>
        <w:rPr>
          <w:rFonts w:asciiTheme="minorHAnsi" w:hAnsiTheme="minorHAnsi" w:cstheme="minorHAnsi"/>
        </w:rPr>
      </w:pPr>
      <w:bookmarkStart w:id="14" w:name="_Toc8896935"/>
      <w:r w:rsidRPr="00FE708B">
        <w:rPr>
          <w:rFonts w:asciiTheme="minorHAnsi" w:hAnsiTheme="minorHAnsi" w:cstheme="minorHAnsi"/>
        </w:rPr>
        <w:t>Raport top-line</w:t>
      </w:r>
      <w:bookmarkEnd w:id="14"/>
    </w:p>
    <w:p w14:paraId="31793AEF" w14:textId="77777777" w:rsidR="00A93DA6" w:rsidRPr="00FE708B"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Raport top-line powinien zostać sporządzony w formacie Power Point i zawierać podstawowe wyniki i wnioski z badania oraz wstępną propozycję rekomendacji. Raport powinien zawierać około 30-50 slajdów. </w:t>
      </w:r>
    </w:p>
    <w:p w14:paraId="12D69EEB" w14:textId="77777777" w:rsidR="00A93DA6" w:rsidRPr="00FE708B"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Raport ten następnie zostanie wykorzystany podczas realizacji mini FGI</w:t>
      </w:r>
      <w:r w:rsidR="00AB54A0" w:rsidRPr="00FE708B">
        <w:rPr>
          <w:rFonts w:asciiTheme="minorHAnsi" w:eastAsiaTheme="minorHAnsi" w:hAnsiTheme="minorHAnsi" w:cstheme="minorHAnsi"/>
          <w:lang w:eastAsia="en-US"/>
        </w:rPr>
        <w:t>.</w:t>
      </w:r>
    </w:p>
    <w:p w14:paraId="4E9B6AC5" w14:textId="77777777" w:rsidR="002269B1" w:rsidRPr="00FE708B" w:rsidRDefault="002269B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Jednocześnie Wykonawca będzie prowadził prace nad raportem końcowym (wersja .doc lub równoważna). </w:t>
      </w:r>
    </w:p>
    <w:p w14:paraId="3B5BF9C2" w14:textId="77777777" w:rsidR="00A93DA6" w:rsidRPr="00FE708B" w:rsidRDefault="00A93DA6" w:rsidP="001B56C4">
      <w:pPr>
        <w:pStyle w:val="N3"/>
        <w:rPr>
          <w:rFonts w:asciiTheme="minorHAnsi" w:hAnsiTheme="minorHAnsi" w:cstheme="minorHAnsi"/>
        </w:rPr>
      </w:pPr>
      <w:bookmarkStart w:id="15" w:name="_Toc8896936"/>
      <w:r w:rsidRPr="00FE708B">
        <w:rPr>
          <w:rFonts w:asciiTheme="minorHAnsi" w:hAnsiTheme="minorHAnsi" w:cstheme="minorHAnsi"/>
        </w:rPr>
        <w:t>Mini FGI</w:t>
      </w:r>
      <w:bookmarkEnd w:id="15"/>
      <w:r w:rsidRPr="00FE708B">
        <w:rPr>
          <w:rFonts w:asciiTheme="minorHAnsi" w:hAnsiTheme="minorHAnsi" w:cstheme="minorHAnsi"/>
        </w:rPr>
        <w:t xml:space="preserve"> </w:t>
      </w:r>
    </w:p>
    <w:p w14:paraId="52895A6C" w14:textId="77777777" w:rsidR="00A93DA6" w:rsidRPr="00FE708B" w:rsidRDefault="00A93DA6"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W ramach mini FGI będą prowadzone spotkania mające na celu </w:t>
      </w:r>
      <w:r w:rsidR="002269B1" w:rsidRPr="00FE708B">
        <w:rPr>
          <w:rFonts w:asciiTheme="minorHAnsi" w:eastAsiaTheme="minorHAnsi" w:hAnsiTheme="minorHAnsi" w:cstheme="minorHAnsi"/>
          <w:lang w:eastAsia="en-US"/>
        </w:rPr>
        <w:t xml:space="preserve">omówienie wyników badania w kontekście wypracowania rekomendacji końcowych. </w:t>
      </w:r>
    </w:p>
    <w:p w14:paraId="7A5EBDFE" w14:textId="32C8087E" w:rsidR="002269B1" w:rsidRPr="00FE708B" w:rsidRDefault="002269B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Zostanie zrealizowanych </w:t>
      </w:r>
      <w:r w:rsidR="004F4D97" w:rsidRPr="00FE708B">
        <w:rPr>
          <w:rFonts w:asciiTheme="minorHAnsi" w:eastAsiaTheme="minorHAnsi" w:hAnsiTheme="minorHAnsi" w:cstheme="minorHAnsi"/>
          <w:lang w:eastAsia="en-US"/>
        </w:rPr>
        <w:t>6</w:t>
      </w:r>
      <w:r w:rsidR="00EC02FF" w:rsidRPr="00FE708B">
        <w:rPr>
          <w:rFonts w:asciiTheme="minorHAnsi" w:eastAsiaTheme="minorHAnsi" w:hAnsiTheme="minorHAnsi" w:cstheme="minorHAnsi"/>
          <w:lang w:eastAsia="en-US"/>
        </w:rPr>
        <w:t xml:space="preserve"> mini FGI (po 2 w województwach, gdzie PSF rozliczany jest </w:t>
      </w:r>
      <w:r w:rsidR="00D74067">
        <w:rPr>
          <w:rFonts w:asciiTheme="minorHAnsi" w:eastAsiaTheme="minorHAnsi" w:hAnsiTheme="minorHAnsi" w:cstheme="minorHAnsi"/>
          <w:lang w:eastAsia="en-US"/>
        </w:rPr>
        <w:br/>
      </w:r>
      <w:r w:rsidR="00EC02FF" w:rsidRPr="00FE708B">
        <w:rPr>
          <w:rFonts w:asciiTheme="minorHAnsi" w:eastAsiaTheme="minorHAnsi" w:hAnsiTheme="minorHAnsi" w:cstheme="minorHAnsi"/>
          <w:lang w:eastAsia="en-US"/>
        </w:rPr>
        <w:t xml:space="preserve">w formie odpowiednio bonów oraz refundacji, 1 w województwie z systemem działającym </w:t>
      </w:r>
      <w:r w:rsidR="00D74067">
        <w:rPr>
          <w:rFonts w:asciiTheme="minorHAnsi" w:eastAsiaTheme="minorHAnsi" w:hAnsiTheme="minorHAnsi" w:cstheme="minorHAnsi"/>
          <w:lang w:eastAsia="en-US"/>
        </w:rPr>
        <w:br/>
      </w:r>
      <w:r w:rsidR="00EC02FF" w:rsidRPr="00FE708B">
        <w:rPr>
          <w:rFonts w:asciiTheme="minorHAnsi" w:eastAsiaTheme="minorHAnsi" w:hAnsiTheme="minorHAnsi" w:cstheme="minorHAnsi"/>
          <w:lang w:eastAsia="en-US"/>
        </w:rPr>
        <w:t xml:space="preserve">w oparciu o konto przedpłacone oraz 1 w Warszawie). </w:t>
      </w:r>
      <w:r w:rsidRPr="00FE708B">
        <w:rPr>
          <w:rFonts w:asciiTheme="minorHAnsi" w:eastAsiaTheme="minorHAnsi" w:hAnsiTheme="minorHAnsi" w:cstheme="minorHAnsi"/>
          <w:lang w:eastAsia="en-US"/>
        </w:rPr>
        <w:t xml:space="preserve">Do udziału zostaną zaproszone osoby posiadające wiedzę na temat funkcjonowania rynku usług rozwojowych oraz osoby związane z PSF (np. odpowiadające za działania PSF na poziomie województwa lub BUR – dot. mini FGI realizowanego w Warszawie). </w:t>
      </w:r>
    </w:p>
    <w:p w14:paraId="1FABB488" w14:textId="77777777" w:rsidR="002269B1" w:rsidRPr="00FE708B" w:rsidRDefault="002269B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 każdym mini FGI powinn</w:t>
      </w:r>
      <w:r w:rsidR="00097DA6" w:rsidRPr="00FE708B">
        <w:rPr>
          <w:rFonts w:asciiTheme="minorHAnsi" w:eastAsiaTheme="minorHAnsi" w:hAnsiTheme="minorHAnsi" w:cstheme="minorHAnsi"/>
          <w:lang w:eastAsia="en-US"/>
        </w:rPr>
        <w:t>o</w:t>
      </w:r>
      <w:r w:rsidRPr="00FE708B">
        <w:rPr>
          <w:rFonts w:asciiTheme="minorHAnsi" w:eastAsiaTheme="minorHAnsi" w:hAnsiTheme="minorHAnsi" w:cstheme="minorHAnsi"/>
          <w:lang w:eastAsia="en-US"/>
        </w:rPr>
        <w:t xml:space="preserve"> wziąć udział 4</w:t>
      </w:r>
      <w:r w:rsidR="00272328" w:rsidRPr="00FE708B">
        <w:rPr>
          <w:rFonts w:asciiTheme="minorHAnsi" w:eastAsiaTheme="minorHAnsi" w:hAnsiTheme="minorHAnsi" w:cstheme="minorHAnsi"/>
          <w:lang w:eastAsia="en-US"/>
        </w:rPr>
        <w:t>-5</w:t>
      </w:r>
      <w:r w:rsidRPr="00FE708B">
        <w:rPr>
          <w:rFonts w:asciiTheme="minorHAnsi" w:eastAsiaTheme="minorHAnsi" w:hAnsiTheme="minorHAnsi" w:cstheme="minorHAnsi"/>
          <w:lang w:eastAsia="en-US"/>
        </w:rPr>
        <w:t xml:space="preserve"> os</w:t>
      </w:r>
      <w:r w:rsidR="00272328" w:rsidRPr="00FE708B">
        <w:rPr>
          <w:rFonts w:asciiTheme="minorHAnsi" w:eastAsiaTheme="minorHAnsi" w:hAnsiTheme="minorHAnsi" w:cstheme="minorHAnsi"/>
          <w:lang w:eastAsia="en-US"/>
        </w:rPr>
        <w:t>ób</w:t>
      </w:r>
      <w:r w:rsidRPr="00FE708B">
        <w:rPr>
          <w:rFonts w:asciiTheme="minorHAnsi" w:eastAsiaTheme="minorHAnsi" w:hAnsiTheme="minorHAnsi" w:cstheme="minorHAnsi"/>
          <w:lang w:eastAsia="en-US"/>
        </w:rPr>
        <w:t xml:space="preserve">. Czas 1 grupy do 120 minut. </w:t>
      </w:r>
    </w:p>
    <w:p w14:paraId="1939979B" w14:textId="77777777" w:rsidR="002269B1" w:rsidRPr="00FE708B" w:rsidRDefault="002269B1"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Sce</w:t>
      </w:r>
      <w:r w:rsidR="00EC02FF" w:rsidRPr="00FE708B">
        <w:rPr>
          <w:rFonts w:asciiTheme="minorHAnsi" w:eastAsiaTheme="minorHAnsi" w:hAnsiTheme="minorHAnsi" w:cstheme="minorHAnsi"/>
          <w:lang w:eastAsia="en-US"/>
        </w:rPr>
        <w:t>nariusz mini FGI</w:t>
      </w:r>
      <w:r w:rsidR="006506F0" w:rsidRPr="00FE708B">
        <w:rPr>
          <w:rFonts w:asciiTheme="minorHAnsi" w:eastAsiaTheme="minorHAnsi" w:hAnsiTheme="minorHAnsi" w:cstheme="minorHAnsi"/>
          <w:lang w:eastAsia="en-US"/>
        </w:rPr>
        <w:t xml:space="preserve"> (przy czym raport top-line powinien stanowić podstawę do dyskusji)</w:t>
      </w:r>
      <w:r w:rsidR="00EC02FF" w:rsidRPr="00FE708B">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propozycja</w:t>
      </w:r>
      <w:r w:rsidR="00EC02FF" w:rsidRPr="00FE708B">
        <w:rPr>
          <w:rFonts w:asciiTheme="minorHAnsi" w:eastAsiaTheme="minorHAnsi" w:hAnsiTheme="minorHAnsi" w:cstheme="minorHAnsi"/>
          <w:lang w:eastAsia="en-US"/>
        </w:rPr>
        <w:t xml:space="preserve"> lokalizacji (wybór województw wykorzystujących bony i województw korzystających z refundacji)</w:t>
      </w:r>
      <w:r w:rsidR="00E97F99" w:rsidRPr="00FE708B">
        <w:rPr>
          <w:rFonts w:asciiTheme="minorHAnsi" w:eastAsiaTheme="minorHAnsi" w:hAnsiTheme="minorHAnsi" w:cstheme="minorHAnsi"/>
          <w:lang w:eastAsia="en-US"/>
        </w:rPr>
        <w:t xml:space="preserve"> </w:t>
      </w:r>
      <w:r w:rsidR="00EC02FF" w:rsidRPr="00FE708B">
        <w:rPr>
          <w:rFonts w:asciiTheme="minorHAnsi" w:eastAsiaTheme="minorHAnsi" w:hAnsiTheme="minorHAnsi" w:cstheme="minorHAnsi"/>
          <w:lang w:eastAsia="en-US"/>
        </w:rPr>
        <w:t xml:space="preserve">oraz </w:t>
      </w:r>
      <w:r w:rsidRPr="00FE708B">
        <w:rPr>
          <w:rFonts w:asciiTheme="minorHAnsi" w:eastAsiaTheme="minorHAnsi" w:hAnsiTheme="minorHAnsi" w:cstheme="minorHAnsi"/>
          <w:lang w:eastAsia="en-US"/>
        </w:rPr>
        <w:t xml:space="preserve">doboru uczestników zostaną dostarczone </w:t>
      </w:r>
      <w:r w:rsidR="00FC1BA6" w:rsidRPr="00FE708B">
        <w:rPr>
          <w:rFonts w:asciiTheme="minorHAnsi" w:eastAsiaTheme="minorHAnsi" w:hAnsiTheme="minorHAnsi" w:cstheme="minorHAnsi"/>
          <w:lang w:eastAsia="en-US"/>
        </w:rPr>
        <w:t>Zamawiającemu</w:t>
      </w:r>
      <w:r w:rsidRPr="00FE708B">
        <w:rPr>
          <w:rFonts w:asciiTheme="minorHAnsi" w:eastAsiaTheme="minorHAnsi" w:hAnsiTheme="minorHAnsi" w:cstheme="minorHAnsi"/>
          <w:lang w:eastAsia="en-US"/>
        </w:rPr>
        <w:t xml:space="preserve"> przez </w:t>
      </w:r>
      <w:r w:rsidR="00FC1BA6" w:rsidRPr="00FE708B">
        <w:rPr>
          <w:rFonts w:asciiTheme="minorHAnsi" w:eastAsiaTheme="minorHAnsi" w:hAnsiTheme="minorHAnsi" w:cstheme="minorHAnsi"/>
          <w:lang w:eastAsia="en-US"/>
        </w:rPr>
        <w:t>Wykonawcę</w:t>
      </w:r>
      <w:r w:rsidRPr="00FE708B">
        <w:rPr>
          <w:rFonts w:asciiTheme="minorHAnsi" w:eastAsiaTheme="minorHAnsi" w:hAnsiTheme="minorHAnsi" w:cstheme="minorHAnsi"/>
          <w:lang w:eastAsia="en-US"/>
        </w:rPr>
        <w:t xml:space="preserve"> razem z raportem top-line. </w:t>
      </w:r>
    </w:p>
    <w:p w14:paraId="5179D2C0" w14:textId="77777777" w:rsidR="00080E89" w:rsidRPr="00FE708B" w:rsidRDefault="00EC02FF"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Rozpoczęcie realizacji badania w terenie będzie uzależnione od zaakceptowania przez Zamawiającego ww. materiałów. </w:t>
      </w:r>
    </w:p>
    <w:p w14:paraId="4996E77E" w14:textId="64D35608" w:rsidR="006506F0" w:rsidRPr="00FE708B" w:rsidRDefault="006506F0" w:rsidP="00D74067">
      <w:pPr>
        <w:pStyle w:val="NormalnyWeb"/>
        <w:shd w:val="clear" w:color="auto" w:fill="FFFFFF"/>
        <w:spacing w:after="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lastRenderedPageBreak/>
        <w:t xml:space="preserve">Mini FGI powinny być realizowane w studiu fokusowym, wyposażonym w lustro weneckie, </w:t>
      </w:r>
      <w:r w:rsidR="00D74067">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z możliwością nagrywania spotkania (dźwięku oraz obrazu). Wykonawca powinien uwzględnić odpowiednie (adekwatne do profilu rozmówców) formy gratyfikacji za udział </w:t>
      </w:r>
      <w:r w:rsidR="00D74067">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w badaniu oraz zapewnić catering dla uczestników grup fokusowych oraz zewnętrznych obserwatorów (w postaci ciastek, kanapek, owoców, kawy, herbaty itp.). </w:t>
      </w:r>
      <w:r w:rsidRPr="00FE708B">
        <w:rPr>
          <w:rFonts w:asciiTheme="minorHAnsi" w:hAnsiTheme="minorHAnsi" w:cstheme="minorHAnsi"/>
        </w:rPr>
        <w:br/>
      </w:r>
    </w:p>
    <w:p w14:paraId="3D3B9B26" w14:textId="15A8FC43" w:rsidR="002269B1" w:rsidRPr="00FE708B" w:rsidRDefault="002269B1" w:rsidP="00D74067">
      <w:pPr>
        <w:pStyle w:val="N3"/>
        <w:spacing w:before="0" w:after="0"/>
        <w:rPr>
          <w:rFonts w:asciiTheme="minorHAnsi" w:hAnsiTheme="minorHAnsi" w:cstheme="minorHAnsi"/>
        </w:rPr>
      </w:pPr>
      <w:bookmarkStart w:id="16" w:name="_Toc8896937"/>
      <w:r w:rsidRPr="00FE708B">
        <w:rPr>
          <w:rFonts w:asciiTheme="minorHAnsi" w:hAnsiTheme="minorHAnsi" w:cstheme="minorHAnsi"/>
        </w:rPr>
        <w:t>Raport końcowy</w:t>
      </w:r>
      <w:bookmarkEnd w:id="16"/>
    </w:p>
    <w:p w14:paraId="32BBDA7F" w14:textId="77777777" w:rsidR="004F4D97" w:rsidRPr="00FE708B" w:rsidRDefault="004F4D97" w:rsidP="00E97F99">
      <w:pPr>
        <w:spacing w:before="120" w:after="120" w:line="360" w:lineRule="auto"/>
        <w:contextualSpacing/>
        <w:rPr>
          <w:rFonts w:eastAsia="Times New Roman" w:cstheme="minorHAnsi"/>
          <w:sz w:val="24"/>
          <w:szCs w:val="24"/>
        </w:rPr>
      </w:pPr>
      <w:r w:rsidRPr="00FE708B">
        <w:rPr>
          <w:rFonts w:eastAsia="Times New Roman" w:cstheme="minorHAnsi"/>
          <w:sz w:val="24"/>
          <w:szCs w:val="24"/>
        </w:rPr>
        <w:t>Wykonawca przygotuje raport końcowy prezentujący wyniki badań i zawierający odpowied</w:t>
      </w:r>
      <w:r w:rsidR="005B1985" w:rsidRPr="00FE708B">
        <w:rPr>
          <w:rFonts w:eastAsia="Times New Roman" w:cstheme="minorHAnsi"/>
          <w:sz w:val="24"/>
          <w:szCs w:val="24"/>
        </w:rPr>
        <w:t xml:space="preserve">zi </w:t>
      </w:r>
      <w:r w:rsidRPr="00FE708B">
        <w:rPr>
          <w:rFonts w:eastAsia="Times New Roman" w:cstheme="minorHAnsi"/>
          <w:sz w:val="24"/>
          <w:szCs w:val="24"/>
        </w:rPr>
        <w:t xml:space="preserve"> na wszystkie pytania badawcze. Otrzymane wyniki powinny zostać omówione w sposób syntetyczny i przekrojowy. Raport nie może sprowadzać się do zreferowania (streszczenia) uzyskanych danych i odpowiedzi pochodzących z badań, lecz powinien być syntezą wyników uzyskanych na różnych etapach realizacji badania, w szczególności struktura raportu nie może być podporządkowana metodologii badania (np. odrębnie cześć jakościowa, ilościowa, czy informacje pochodzące z analizy danych zastanych</w:t>
      </w:r>
      <w:r w:rsidR="00272328" w:rsidRPr="00FE708B">
        <w:rPr>
          <w:rFonts w:eastAsia="Times New Roman" w:cstheme="minorHAnsi"/>
          <w:sz w:val="24"/>
          <w:szCs w:val="24"/>
        </w:rPr>
        <w:t>; z</w:t>
      </w:r>
      <w:r w:rsidR="002F026A" w:rsidRPr="00FE708B">
        <w:rPr>
          <w:rFonts w:eastAsia="Times New Roman" w:cstheme="minorHAnsi"/>
          <w:sz w:val="24"/>
          <w:szCs w:val="24"/>
        </w:rPr>
        <w:t xml:space="preserve">astosowana triangulacja metod badawczych powinna znaleźć odzwierciedlenie </w:t>
      </w:r>
      <w:r w:rsidR="00955C6C" w:rsidRPr="00FE708B">
        <w:rPr>
          <w:rFonts w:eastAsia="Times New Roman" w:cstheme="minorHAnsi"/>
          <w:sz w:val="24"/>
          <w:szCs w:val="24"/>
        </w:rPr>
        <w:t xml:space="preserve">w fazie </w:t>
      </w:r>
      <w:r w:rsidR="002F026A" w:rsidRPr="00FE708B">
        <w:rPr>
          <w:rFonts w:eastAsia="Times New Roman" w:cstheme="minorHAnsi"/>
          <w:sz w:val="24"/>
          <w:szCs w:val="24"/>
        </w:rPr>
        <w:t>raportowania</w:t>
      </w:r>
      <w:r w:rsidRPr="00FE708B">
        <w:rPr>
          <w:rFonts w:eastAsia="Times New Roman" w:cstheme="minorHAnsi"/>
          <w:sz w:val="24"/>
          <w:szCs w:val="24"/>
        </w:rPr>
        <w:t>).</w:t>
      </w:r>
      <w:r w:rsidR="00FC1BA6" w:rsidRPr="00FE708B">
        <w:rPr>
          <w:rFonts w:eastAsia="Times New Roman" w:cstheme="minorHAnsi"/>
          <w:sz w:val="24"/>
          <w:szCs w:val="24"/>
        </w:rPr>
        <w:t xml:space="preserve"> Zamawiający oczekuje, że treści raportu (poszczególne jego rozdziały) zostaną opisane zgodnie z zasadą od ogółu do szczegółu (główne wnioski, a następie ich wyjaśnienie w oparciu o przeprowadzone analizy). </w:t>
      </w:r>
    </w:p>
    <w:p w14:paraId="6BB9FDDF" w14:textId="77777777" w:rsidR="004F4D97" w:rsidRPr="00FE708B" w:rsidRDefault="004F4D97" w:rsidP="00E97F99">
      <w:pPr>
        <w:spacing w:before="120" w:after="120" w:line="360" w:lineRule="auto"/>
        <w:contextualSpacing/>
        <w:jc w:val="both"/>
        <w:rPr>
          <w:rFonts w:eastAsia="Times New Roman" w:cstheme="minorHAnsi"/>
        </w:rPr>
      </w:pPr>
    </w:p>
    <w:p w14:paraId="594D35A4" w14:textId="77777777" w:rsidR="004F4D97" w:rsidRPr="00FE708B" w:rsidRDefault="004F4D97" w:rsidP="00E97F99">
      <w:pPr>
        <w:spacing w:before="120" w:after="120" w:line="360" w:lineRule="auto"/>
        <w:contextualSpacing/>
        <w:rPr>
          <w:rFonts w:eastAsia="Times New Roman" w:cstheme="minorHAnsi"/>
          <w:sz w:val="24"/>
          <w:szCs w:val="24"/>
        </w:rPr>
      </w:pPr>
      <w:r w:rsidRPr="00FE708B">
        <w:rPr>
          <w:rFonts w:eastAsia="Times New Roman" w:cstheme="minorHAnsi"/>
          <w:sz w:val="24"/>
          <w:szCs w:val="24"/>
        </w:rPr>
        <w:t xml:space="preserve">Raport końcowy będzie zawierał co najmniej następujące elementy: </w:t>
      </w:r>
    </w:p>
    <w:p w14:paraId="020FC87F" w14:textId="77777777" w:rsidR="004F4D97" w:rsidRPr="00FE708B" w:rsidRDefault="004F4D97"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 xml:space="preserve">streszczenie najważniejszych wniosków i rekomendacji (wersja w języku polskim </w:t>
      </w:r>
      <w:r w:rsidRPr="00FE708B">
        <w:rPr>
          <w:rFonts w:eastAsia="Times New Roman" w:cstheme="minorHAnsi"/>
          <w:sz w:val="24"/>
          <w:szCs w:val="24"/>
        </w:rPr>
        <w:br/>
        <w:t>i angielskim),</w:t>
      </w:r>
    </w:p>
    <w:p w14:paraId="328B638A" w14:textId="77777777" w:rsidR="004F4D97" w:rsidRPr="00FE708B" w:rsidRDefault="004F4D97"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skrócony opis metodologii badania,</w:t>
      </w:r>
    </w:p>
    <w:p w14:paraId="28766FD7" w14:textId="77777777" w:rsidR="004F4D97" w:rsidRPr="00FE708B" w:rsidRDefault="004F4D97"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opis wyników badania, w tym szczegółowy opis każdego modelu dystrybucji środków w ramach PSF ze wskazaniem ich silnych i słabych stron,</w:t>
      </w:r>
    </w:p>
    <w:p w14:paraId="62AD5941" w14:textId="77777777" w:rsidR="00E97F99" w:rsidRPr="00FE708B" w:rsidRDefault="00E97F99"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osobny rozdział z wnioskami dla poszczególnych regionów,</w:t>
      </w:r>
    </w:p>
    <w:p w14:paraId="2F45FDC3" w14:textId="77777777" w:rsidR="00463225" w:rsidRPr="00FE708B" w:rsidRDefault="00463225"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osobny rozdział prezentujący funkcjonowanie Operatorów</w:t>
      </w:r>
      <w:r w:rsidRPr="00FE708B">
        <w:rPr>
          <w:rStyle w:val="Odwoanieprzypisudolnego"/>
          <w:rFonts w:eastAsia="Times New Roman" w:cstheme="minorHAnsi"/>
          <w:sz w:val="24"/>
          <w:szCs w:val="24"/>
        </w:rPr>
        <w:footnoteReference w:id="23"/>
      </w:r>
      <w:r w:rsidR="008B513B" w:rsidRPr="00FE708B">
        <w:rPr>
          <w:rFonts w:eastAsia="Times New Roman" w:cstheme="minorHAnsi"/>
          <w:sz w:val="24"/>
          <w:szCs w:val="24"/>
        </w:rPr>
        <w:t>,</w:t>
      </w:r>
    </w:p>
    <w:p w14:paraId="2B24F1F1" w14:textId="5C878971" w:rsidR="00272328" w:rsidRPr="00FE708B" w:rsidRDefault="00272328" w:rsidP="00272328">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syntetyczne odpowiedzi na pytania ewaluacyjne</w:t>
      </w:r>
      <w:r w:rsidR="008B513B" w:rsidRPr="00FE708B">
        <w:rPr>
          <w:rFonts w:eastAsia="Times New Roman" w:cstheme="minorHAnsi"/>
          <w:sz w:val="24"/>
          <w:szCs w:val="24"/>
        </w:rPr>
        <w:t>,</w:t>
      </w:r>
    </w:p>
    <w:p w14:paraId="436264B2" w14:textId="77777777" w:rsidR="004F4D97" w:rsidRPr="00FE708B" w:rsidRDefault="004F4D97" w:rsidP="009B4369">
      <w:pPr>
        <w:numPr>
          <w:ilvl w:val="0"/>
          <w:numId w:val="19"/>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lastRenderedPageBreak/>
        <w:t>wnioski i rekomendacje (opracowane w formie Tabeli, zgodnie z wytycznymi MR w zakresie ewaluacji polityki spójności w Polsce na lata 2014-2020, w tym zgodne z Systemem Wdrażania Rekomendacji),</w:t>
      </w:r>
    </w:p>
    <w:p w14:paraId="30BDD8B5" w14:textId="77777777" w:rsidR="004F4D97" w:rsidRPr="00FE708B" w:rsidRDefault="004F4D97" w:rsidP="00E97F99">
      <w:pPr>
        <w:spacing w:before="120" w:after="120" w:line="360" w:lineRule="auto"/>
        <w:contextualSpacing/>
        <w:jc w:val="both"/>
        <w:rPr>
          <w:rFonts w:eastAsia="Times New Roman" w:cstheme="minorHAnsi"/>
        </w:rPr>
      </w:pPr>
    </w:p>
    <w:p w14:paraId="7E2F5BA3" w14:textId="77777777" w:rsidR="004F4D97" w:rsidRPr="00FE708B" w:rsidRDefault="004F4D97" w:rsidP="00E97F99">
      <w:pPr>
        <w:spacing w:before="120" w:after="120" w:line="360" w:lineRule="auto"/>
        <w:contextualSpacing/>
        <w:rPr>
          <w:rFonts w:eastAsia="Times New Roman" w:cstheme="minorHAnsi"/>
          <w:sz w:val="24"/>
          <w:szCs w:val="24"/>
        </w:rPr>
      </w:pPr>
      <w:r w:rsidRPr="00FE708B">
        <w:rPr>
          <w:rFonts w:eastAsia="Times New Roman" w:cstheme="minorHAnsi"/>
          <w:sz w:val="24"/>
          <w:szCs w:val="24"/>
        </w:rPr>
        <w:t>Przygotowując Tabelę rekomendacji Wykonawca powinien zadbać o to, aby posiadały:</w:t>
      </w:r>
    </w:p>
    <w:p w14:paraId="79DB6BC8" w14:textId="77777777" w:rsidR="004F4D97" w:rsidRPr="00FE708B" w:rsidRDefault="004F4D97"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Przesłankę - wynikającą z przeprowadzonego badania potrzebę/problem, któremu rekomendacja odpowiada</w:t>
      </w:r>
    </w:p>
    <w:p w14:paraId="71C2C353" w14:textId="77777777" w:rsidR="004F4D97" w:rsidRPr="00FE708B" w:rsidRDefault="004F4D97"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Plan wdrażania:</w:t>
      </w:r>
    </w:p>
    <w:p w14:paraId="57CC481A" w14:textId="77777777" w:rsidR="004F4D97" w:rsidRPr="00FE708B" w:rsidRDefault="004F4D97" w:rsidP="009B4369">
      <w:pPr>
        <w:pStyle w:val="Akapitzlist"/>
        <w:numPr>
          <w:ilvl w:val="1"/>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opis rekomendowanego działania/ produktu/ procedury/ procesu</w:t>
      </w:r>
    </w:p>
    <w:p w14:paraId="52F6FE83" w14:textId="77777777" w:rsidR="004F4D97" w:rsidRPr="00FE708B" w:rsidRDefault="004F4D97" w:rsidP="009B4369">
      <w:pPr>
        <w:pStyle w:val="Akapitzlist"/>
        <w:numPr>
          <w:ilvl w:val="1"/>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identyfikację wymaganych do wdrożenia rekomendacji zasobów finansowych i organizacyjnych</w:t>
      </w:r>
    </w:p>
    <w:p w14:paraId="688EC519" w14:textId="77777777" w:rsidR="004F4D97" w:rsidRPr="00FE708B" w:rsidRDefault="004F4D97"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Mechanizm:</w:t>
      </w:r>
    </w:p>
    <w:p w14:paraId="482C444C" w14:textId="77777777" w:rsidR="004F4D97" w:rsidRPr="00FE708B" w:rsidRDefault="004F4D97" w:rsidP="009B4369">
      <w:pPr>
        <w:pStyle w:val="Akapitzlist"/>
        <w:numPr>
          <w:ilvl w:val="1"/>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identyfikację aktorów (lub grup aktorów), na których rekomendacja będzie oddziaływać</w:t>
      </w:r>
    </w:p>
    <w:p w14:paraId="6544E6E2" w14:textId="77777777" w:rsidR="004F4D97" w:rsidRPr="00FE708B" w:rsidRDefault="004F4D97" w:rsidP="009B4369">
      <w:pPr>
        <w:pStyle w:val="Akapitzlist"/>
        <w:numPr>
          <w:ilvl w:val="1"/>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identyfikację zakładanej reakcji aktorów (lub grup aktorów)</w:t>
      </w:r>
    </w:p>
    <w:p w14:paraId="1F5A4CB0" w14:textId="77777777" w:rsidR="004F4D97" w:rsidRPr="00FE708B" w:rsidRDefault="004F4D97" w:rsidP="009B4369">
      <w:pPr>
        <w:pStyle w:val="Akapitzlist"/>
        <w:numPr>
          <w:ilvl w:val="1"/>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identyfikację czynników kontekstowych – czynników mogących sprzyjać lub przeciwdziałać wdrażaniu rekomendacji</w:t>
      </w:r>
    </w:p>
    <w:p w14:paraId="663CB495" w14:textId="77777777" w:rsidR="004F4D97" w:rsidRPr="00FE708B" w:rsidRDefault="004F4D97"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Zmianę – określenie przewidywanych efektów związanych z wdrożeniem rekomendacji (w tym efektów finansowych i efektów związanych ze zmianą postaw aktorów)</w:t>
      </w:r>
      <w:r w:rsidR="00D4426C" w:rsidRPr="00FE708B">
        <w:rPr>
          <w:rFonts w:asciiTheme="minorHAnsi" w:eastAsia="Times New Roman" w:hAnsiTheme="minorHAnsi" w:cstheme="minorHAnsi"/>
          <w:sz w:val="24"/>
          <w:szCs w:val="24"/>
          <w:lang w:eastAsia="pl-PL"/>
        </w:rPr>
        <w:t>.</w:t>
      </w:r>
    </w:p>
    <w:p w14:paraId="41E89E42" w14:textId="31651043" w:rsidR="004F4D97" w:rsidRPr="00FE708B" w:rsidRDefault="004F4D97" w:rsidP="00E97F99">
      <w:pPr>
        <w:spacing w:before="120" w:after="120" w:line="360" w:lineRule="auto"/>
        <w:contextualSpacing/>
        <w:rPr>
          <w:rFonts w:eastAsia="Times New Roman" w:cstheme="minorHAnsi"/>
          <w:sz w:val="24"/>
          <w:szCs w:val="24"/>
        </w:rPr>
      </w:pPr>
      <w:r w:rsidRPr="00FE708B">
        <w:rPr>
          <w:rFonts w:eastAsia="Times New Roman" w:cstheme="minorHAnsi"/>
          <w:sz w:val="24"/>
          <w:szCs w:val="24"/>
        </w:rPr>
        <w:t xml:space="preserve">Do raportu końcowego będą dołączone aneksy, tworzone przez Wykonawcę na bieżąco </w:t>
      </w:r>
      <w:r w:rsidR="00D74067">
        <w:rPr>
          <w:rFonts w:eastAsia="Times New Roman" w:cstheme="minorHAnsi"/>
          <w:sz w:val="24"/>
          <w:szCs w:val="24"/>
        </w:rPr>
        <w:br/>
      </w:r>
      <w:r w:rsidRPr="00FE708B">
        <w:rPr>
          <w:rFonts w:eastAsia="Times New Roman" w:cstheme="minorHAnsi"/>
          <w:sz w:val="24"/>
          <w:szCs w:val="24"/>
        </w:rPr>
        <w:t>w toku realizacji niniejszego zamówienia, w szczególności:</w:t>
      </w:r>
    </w:p>
    <w:p w14:paraId="140C138F"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prezentacja wyników w formacie .ppt lub .pptx,</w:t>
      </w:r>
    </w:p>
    <w:p w14:paraId="2E5716AA"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Tabela rekomendacji w formacje .xls lub .xlsx</w:t>
      </w:r>
    </w:p>
    <w:p w14:paraId="5E0D36B2" w14:textId="77777777" w:rsidR="004F4D97" w:rsidRPr="00FE708B" w:rsidRDefault="00955C6C"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 xml:space="preserve">lista </w:t>
      </w:r>
      <w:r w:rsidR="004F4D97" w:rsidRPr="00FE708B">
        <w:rPr>
          <w:rFonts w:eastAsia="Times New Roman" w:cstheme="minorHAnsi"/>
          <w:sz w:val="24"/>
          <w:szCs w:val="24"/>
        </w:rPr>
        <w:t>osób, z którymi przeprowadzono IDI</w:t>
      </w:r>
      <w:r w:rsidR="00E97F99" w:rsidRPr="00FE708B">
        <w:rPr>
          <w:rFonts w:eastAsia="Times New Roman" w:cstheme="minorHAnsi"/>
          <w:sz w:val="24"/>
          <w:szCs w:val="24"/>
        </w:rPr>
        <w:t>/TDI</w:t>
      </w:r>
      <w:r w:rsidR="004F4D97" w:rsidRPr="00FE708B">
        <w:rPr>
          <w:rFonts w:eastAsia="Times New Roman" w:cstheme="minorHAnsi"/>
          <w:sz w:val="24"/>
          <w:szCs w:val="24"/>
        </w:rPr>
        <w:t>, wraz z informacją na temat reprezentowanych przez nie instytucji</w:t>
      </w:r>
    </w:p>
    <w:p w14:paraId="3BF83AAF"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lista dokumentów, publikacji i innych materiałów źródłowych, wykorzystanych przy ewaluacji,</w:t>
      </w:r>
    </w:p>
    <w:p w14:paraId="3CF01441"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narzędzia badawcze zastosowane w ewaluacji,</w:t>
      </w:r>
    </w:p>
    <w:p w14:paraId="6145E2CB"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transkrypcje wywiadów pogłębionych</w:t>
      </w:r>
      <w:r w:rsidR="00272328" w:rsidRPr="00FE708B">
        <w:rPr>
          <w:rFonts w:eastAsia="Times New Roman" w:cstheme="minorHAnsi"/>
          <w:sz w:val="24"/>
          <w:szCs w:val="24"/>
        </w:rPr>
        <w:t xml:space="preserve"> i miniFGI</w:t>
      </w:r>
      <w:r w:rsidRPr="00FE708B">
        <w:rPr>
          <w:rFonts w:eastAsia="Times New Roman" w:cstheme="minorHAnsi"/>
          <w:sz w:val="24"/>
          <w:szCs w:val="24"/>
        </w:rPr>
        <w:t>,</w:t>
      </w:r>
    </w:p>
    <w:p w14:paraId="511A7623" w14:textId="77777777" w:rsidR="004B2974" w:rsidRPr="00FE708B" w:rsidRDefault="004B2974"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lastRenderedPageBreak/>
        <w:t>zakodowane transkrypcje wraz z kluczem kodowym (</w:t>
      </w:r>
      <w:r w:rsidR="00F670FC" w:rsidRPr="00FE708B">
        <w:rPr>
          <w:rFonts w:eastAsia="Times New Roman" w:cstheme="minorHAnsi"/>
          <w:sz w:val="24"/>
          <w:szCs w:val="24"/>
        </w:rPr>
        <w:t>eksport do Excel lub Word treści analizowanych przez Wykonawcę za pomocą programu MaxQda lub równoważnego</w:t>
      </w:r>
      <w:r w:rsidRPr="00FE708B">
        <w:rPr>
          <w:rFonts w:eastAsia="Times New Roman" w:cstheme="minorHAnsi"/>
          <w:sz w:val="24"/>
          <w:szCs w:val="24"/>
        </w:rPr>
        <w:t>)</w:t>
      </w:r>
      <w:r w:rsidR="00F670FC" w:rsidRPr="00FE708B">
        <w:rPr>
          <w:rFonts w:eastAsia="Times New Roman" w:cstheme="minorHAnsi"/>
          <w:sz w:val="24"/>
          <w:szCs w:val="24"/>
        </w:rPr>
        <w:t>,</w:t>
      </w:r>
    </w:p>
    <w:p w14:paraId="7F33083C"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tabele statystyczne,</w:t>
      </w:r>
      <w:r w:rsidR="00272328" w:rsidRPr="00FE708B">
        <w:rPr>
          <w:rFonts w:eastAsia="Times New Roman" w:cstheme="minorHAnsi"/>
          <w:sz w:val="24"/>
          <w:szCs w:val="24"/>
        </w:rPr>
        <w:t xml:space="preserve"> w części pochodzącej z badań pierwotnych oraz w części pochodzącej z analizy bazy danych BUR,</w:t>
      </w:r>
    </w:p>
    <w:p w14:paraId="63CFD8BC" w14:textId="77777777" w:rsidR="004F4D97" w:rsidRPr="00FE708B" w:rsidRDefault="004F4D97" w:rsidP="009B4369">
      <w:pPr>
        <w:numPr>
          <w:ilvl w:val="0"/>
          <w:numId w:val="20"/>
        </w:numPr>
        <w:spacing w:before="120" w:after="120" w:line="360" w:lineRule="auto"/>
        <w:ind w:left="993"/>
        <w:contextualSpacing/>
        <w:rPr>
          <w:rFonts w:eastAsia="Times New Roman" w:cstheme="minorHAnsi"/>
          <w:sz w:val="24"/>
          <w:szCs w:val="24"/>
        </w:rPr>
      </w:pPr>
      <w:r w:rsidRPr="00FE708B">
        <w:rPr>
          <w:rFonts w:eastAsia="Times New Roman" w:cstheme="minorHAnsi"/>
          <w:sz w:val="24"/>
          <w:szCs w:val="24"/>
        </w:rPr>
        <w:t>ostateczn</w:t>
      </w:r>
      <w:r w:rsidR="00D4426C" w:rsidRPr="00FE708B">
        <w:rPr>
          <w:rFonts w:eastAsia="Times New Roman" w:cstheme="minorHAnsi"/>
          <w:sz w:val="24"/>
          <w:szCs w:val="24"/>
        </w:rPr>
        <w:t>a</w:t>
      </w:r>
      <w:r w:rsidRPr="00FE708B">
        <w:rPr>
          <w:rFonts w:eastAsia="Times New Roman" w:cstheme="minorHAnsi"/>
          <w:sz w:val="24"/>
          <w:szCs w:val="24"/>
        </w:rPr>
        <w:t xml:space="preserve"> wersj</w:t>
      </w:r>
      <w:r w:rsidR="00D4426C" w:rsidRPr="00FE708B">
        <w:rPr>
          <w:rFonts w:eastAsia="Times New Roman" w:cstheme="minorHAnsi"/>
          <w:sz w:val="24"/>
          <w:szCs w:val="24"/>
        </w:rPr>
        <w:t>a</w:t>
      </w:r>
      <w:r w:rsidRPr="00FE708B">
        <w:rPr>
          <w:rFonts w:eastAsia="Times New Roman" w:cstheme="minorHAnsi"/>
          <w:sz w:val="24"/>
          <w:szCs w:val="24"/>
        </w:rPr>
        <w:t xml:space="preserve"> raportu metodologicznego</w:t>
      </w:r>
      <w:r w:rsidR="00272328" w:rsidRPr="00FE708B">
        <w:rPr>
          <w:rStyle w:val="Odwoanieprzypisudolnego"/>
          <w:rFonts w:eastAsia="Times New Roman" w:cstheme="minorHAnsi"/>
          <w:sz w:val="24"/>
          <w:szCs w:val="24"/>
        </w:rPr>
        <w:footnoteReference w:id="24"/>
      </w:r>
      <w:r w:rsidRPr="00FE708B">
        <w:rPr>
          <w:rFonts w:eastAsia="Times New Roman" w:cstheme="minorHAnsi"/>
          <w:sz w:val="24"/>
          <w:szCs w:val="24"/>
        </w:rPr>
        <w:t>.</w:t>
      </w:r>
    </w:p>
    <w:p w14:paraId="37BA96B7" w14:textId="77777777" w:rsidR="004F4D97" w:rsidRPr="00FE708B" w:rsidRDefault="004F4D97" w:rsidP="00E97F99">
      <w:pPr>
        <w:spacing w:before="120" w:after="120" w:line="360" w:lineRule="auto"/>
        <w:ind w:left="993"/>
        <w:contextualSpacing/>
        <w:jc w:val="both"/>
        <w:rPr>
          <w:rFonts w:eastAsia="Times New Roman" w:cstheme="minorHAnsi"/>
        </w:rPr>
      </w:pPr>
    </w:p>
    <w:p w14:paraId="0C34ABF9" w14:textId="0D2DB2AF" w:rsidR="004F4D97" w:rsidRPr="00FE708B" w:rsidRDefault="004F4D97" w:rsidP="00E97F99">
      <w:pPr>
        <w:spacing w:before="120" w:after="120" w:line="360" w:lineRule="auto"/>
        <w:rPr>
          <w:rFonts w:eastAsia="Times New Roman" w:cstheme="minorHAnsi"/>
          <w:sz w:val="24"/>
          <w:szCs w:val="24"/>
        </w:rPr>
      </w:pPr>
      <w:r w:rsidRPr="00FE708B">
        <w:rPr>
          <w:rFonts w:eastAsia="Times New Roman" w:cstheme="minorHAnsi"/>
          <w:sz w:val="24"/>
          <w:szCs w:val="24"/>
        </w:rPr>
        <w:t>Raport powinien zawierać nie więcej niż 120 stron, w tym streszczenie (nie więcej 5-10 str.), około 1 800 znaków na stronę</w:t>
      </w:r>
      <w:r w:rsidR="00D74067">
        <w:rPr>
          <w:rFonts w:eastAsia="Times New Roman" w:cstheme="minorHAnsi"/>
          <w:sz w:val="24"/>
          <w:szCs w:val="24"/>
        </w:rPr>
        <w:t xml:space="preserve"> (bez spacji)</w:t>
      </w:r>
      <w:r w:rsidRPr="00FE708B">
        <w:rPr>
          <w:rFonts w:eastAsia="Times New Roman" w:cstheme="minorHAnsi"/>
          <w:sz w:val="24"/>
          <w:szCs w:val="24"/>
        </w:rPr>
        <w:t xml:space="preserve">. Raport końcowy, podobnie jak raport metodologiczny, będą przygotowane w języku polskim. Dodatkowo, streszczenie raportu końcowego </w:t>
      </w:r>
      <w:r w:rsidR="00BE1538" w:rsidRPr="00FE708B">
        <w:rPr>
          <w:rFonts w:eastAsia="Times New Roman" w:cstheme="minorHAnsi"/>
          <w:sz w:val="24"/>
          <w:szCs w:val="24"/>
        </w:rPr>
        <w:t>będzie</w:t>
      </w:r>
      <w:r w:rsidRPr="00FE708B">
        <w:rPr>
          <w:rFonts w:eastAsia="Times New Roman" w:cstheme="minorHAnsi"/>
          <w:sz w:val="24"/>
          <w:szCs w:val="24"/>
        </w:rPr>
        <w:t xml:space="preserve"> przygotowane w języku angielskim. W raporcie końcowym Wykonawca powinien zamieścić logo PARP, Unii Europejskiej, PO WER oraz informację, że raport powstał w ramach Projektu współfinansowanego z Europejskiego Funduszu </w:t>
      </w:r>
      <w:r w:rsidR="00787F03" w:rsidRPr="00FE708B">
        <w:rPr>
          <w:rFonts w:eastAsia="Times New Roman" w:cstheme="minorHAnsi"/>
          <w:sz w:val="24"/>
          <w:szCs w:val="24"/>
        </w:rPr>
        <w:t>Społecznego</w:t>
      </w:r>
      <w:r w:rsidRPr="00FE708B">
        <w:rPr>
          <w:rFonts w:eastAsia="Times New Roman" w:cstheme="minorHAnsi"/>
          <w:sz w:val="24"/>
          <w:szCs w:val="24"/>
        </w:rPr>
        <w:t xml:space="preserve">. </w:t>
      </w:r>
    </w:p>
    <w:p w14:paraId="5BB6197E" w14:textId="238EB52E" w:rsidR="004F4D97" w:rsidRPr="00FE708B" w:rsidRDefault="004F4D97" w:rsidP="00DD630D">
      <w:pPr>
        <w:spacing w:before="120" w:after="120" w:line="360" w:lineRule="auto"/>
        <w:contextualSpacing/>
        <w:rPr>
          <w:rFonts w:eastAsia="Times New Roman" w:cstheme="minorHAnsi"/>
          <w:sz w:val="24"/>
          <w:szCs w:val="24"/>
        </w:rPr>
      </w:pPr>
      <w:r w:rsidRPr="00FE708B">
        <w:rPr>
          <w:rFonts w:eastAsia="Times New Roman" w:cstheme="minorHAnsi"/>
          <w:sz w:val="24"/>
          <w:szCs w:val="24"/>
        </w:rPr>
        <w:t xml:space="preserve">Prezentowane w raporcie końcowym informacje powinny zachować spójny wygląd i treść </w:t>
      </w:r>
      <w:r w:rsidR="00D74067">
        <w:rPr>
          <w:rFonts w:eastAsia="Times New Roman" w:cstheme="minorHAnsi"/>
          <w:sz w:val="24"/>
          <w:szCs w:val="24"/>
        </w:rPr>
        <w:br/>
      </w:r>
      <w:r w:rsidRPr="00FE708B">
        <w:rPr>
          <w:rFonts w:eastAsia="Times New Roman" w:cstheme="minorHAnsi"/>
          <w:sz w:val="24"/>
          <w:szCs w:val="24"/>
        </w:rPr>
        <w:t xml:space="preserve">(w szczególności tabele i wykresy). Ponadto, szata graficzna obu raportów powinna być zgodna z Podręcznikiem wnioskodawcy i beneficjenta programów polityki spójności </w:t>
      </w:r>
      <w:r w:rsidR="00D74067">
        <w:rPr>
          <w:rFonts w:eastAsia="Times New Roman" w:cstheme="minorHAnsi"/>
          <w:sz w:val="24"/>
          <w:szCs w:val="24"/>
        </w:rPr>
        <w:br/>
      </w:r>
      <w:r w:rsidRPr="00FE708B">
        <w:rPr>
          <w:rFonts w:eastAsia="Times New Roman" w:cstheme="minorHAnsi"/>
          <w:sz w:val="24"/>
          <w:szCs w:val="24"/>
        </w:rPr>
        <w:t>2014-2020 w zakresie informacji i promocji oraz Księgą Identyfikacji Wizualnej znaku marki Fundusze Europejskie i znaków programów polityki spójności na lata 2014-2020. Ponadto raporty oraz prezentacje przygotowane w ramach zamówienia będą zgodne z zasadami wizualizacji PARP</w:t>
      </w:r>
      <w:r w:rsidR="006E559B" w:rsidRPr="00FE708B">
        <w:rPr>
          <w:rFonts w:eastAsia="Times New Roman" w:cstheme="minorHAnsi"/>
          <w:sz w:val="24"/>
          <w:szCs w:val="24"/>
        </w:rPr>
        <w:t xml:space="preserve"> oraz wytycznymi w zakresie realizacji zasady równości szans i niedyskryminacji, w tym dostępności dla osób z niepełnosprawnościami oraz zasady równości szans kobiet i mężczyzn w ramach funduszy unijnych na lata 2014-2020 </w:t>
      </w:r>
      <w:hyperlink r:id="rId36" w:history="1">
        <w:r w:rsidR="006E559B" w:rsidRPr="00FE708B">
          <w:rPr>
            <w:rStyle w:val="Hipercze"/>
            <w:rFonts w:eastAsia="Times New Roman" w:cstheme="minorHAnsi"/>
            <w:sz w:val="24"/>
            <w:szCs w:val="24"/>
          </w:rPr>
          <w:t>https://www.funduszeeuropejskie.gov.pl/media/54997/Wytyczne_w_zakresie_rownosci_zatwierdzone_050418.pdf</w:t>
        </w:r>
      </w:hyperlink>
    </w:p>
    <w:p w14:paraId="41EDCA1A" w14:textId="77777777" w:rsidR="00D74067" w:rsidRDefault="004F4D97" w:rsidP="00E97F99">
      <w:pPr>
        <w:spacing w:before="120" w:after="120" w:line="360" w:lineRule="auto"/>
        <w:rPr>
          <w:rFonts w:eastAsia="Times New Roman" w:cstheme="minorHAnsi"/>
          <w:sz w:val="24"/>
          <w:szCs w:val="24"/>
        </w:rPr>
      </w:pPr>
      <w:r w:rsidRPr="00FE708B">
        <w:rPr>
          <w:rFonts w:eastAsia="Times New Roman" w:cstheme="minorHAnsi"/>
          <w:sz w:val="24"/>
          <w:szCs w:val="24"/>
        </w:rPr>
        <w:t>Wersja robocza raportu końcowego (</w:t>
      </w:r>
      <w:r w:rsidR="00DD630D" w:rsidRPr="00FE708B">
        <w:rPr>
          <w:rFonts w:eastAsia="Times New Roman" w:cstheme="minorHAnsi"/>
          <w:sz w:val="24"/>
          <w:szCs w:val="24"/>
        </w:rPr>
        <w:t>z</w:t>
      </w:r>
      <w:r w:rsidRPr="00FE708B">
        <w:rPr>
          <w:rFonts w:eastAsia="Times New Roman" w:cstheme="minorHAnsi"/>
          <w:sz w:val="24"/>
          <w:szCs w:val="24"/>
        </w:rPr>
        <w:t xml:space="preserve"> załączni</w:t>
      </w:r>
      <w:r w:rsidR="00DD630D" w:rsidRPr="00FE708B">
        <w:rPr>
          <w:rFonts w:eastAsia="Times New Roman" w:cstheme="minorHAnsi"/>
          <w:sz w:val="24"/>
          <w:szCs w:val="24"/>
        </w:rPr>
        <w:t xml:space="preserve">kami) </w:t>
      </w:r>
      <w:r w:rsidRPr="00FE708B">
        <w:rPr>
          <w:rFonts w:eastAsia="Times New Roman" w:cstheme="minorHAnsi"/>
          <w:sz w:val="24"/>
          <w:szCs w:val="24"/>
        </w:rPr>
        <w:t xml:space="preserve">zostanie dostarczona w wersji elektronicznej za pośrednictwem poczty elektronicznej; formaty: .doc lub .docx oraz PDF). </w:t>
      </w:r>
    </w:p>
    <w:p w14:paraId="44494F4D" w14:textId="5A6F29D3" w:rsidR="004F4D97" w:rsidRPr="00FE708B" w:rsidRDefault="004F4D97" w:rsidP="00E97F99">
      <w:pPr>
        <w:spacing w:before="120" w:after="120" w:line="360" w:lineRule="auto"/>
        <w:rPr>
          <w:rFonts w:cstheme="minorHAnsi"/>
          <w:bCs/>
          <w:sz w:val="24"/>
          <w:szCs w:val="24"/>
        </w:rPr>
      </w:pPr>
      <w:r w:rsidRPr="00FE708B">
        <w:rPr>
          <w:rFonts w:eastAsia="Times New Roman" w:cstheme="minorHAnsi"/>
          <w:sz w:val="24"/>
          <w:szCs w:val="24"/>
        </w:rPr>
        <w:lastRenderedPageBreak/>
        <w:t xml:space="preserve">Po zaakceptowaniu przez </w:t>
      </w:r>
      <w:r w:rsidRPr="003B4282">
        <w:rPr>
          <w:rFonts w:eastAsia="Times New Roman" w:cstheme="minorHAnsi"/>
          <w:sz w:val="24"/>
          <w:szCs w:val="24"/>
        </w:rPr>
        <w:t>Zamawiającego wersji roboczej raportu końcowego Wykonawca</w:t>
      </w:r>
      <w:r w:rsidRPr="00FE708B">
        <w:rPr>
          <w:rFonts w:eastAsia="Times New Roman" w:cstheme="minorHAnsi"/>
          <w:sz w:val="24"/>
          <w:szCs w:val="24"/>
        </w:rPr>
        <w:t xml:space="preserve"> dostarczy Zamawiającemu raport końcowy </w:t>
      </w:r>
      <w:r w:rsidR="00B21739" w:rsidRPr="00FE708B">
        <w:rPr>
          <w:rFonts w:eastAsia="Times New Roman" w:cstheme="minorHAnsi"/>
          <w:sz w:val="24"/>
          <w:szCs w:val="24"/>
        </w:rPr>
        <w:t>w wersji elektronicznej za pośrednictwem poczty elektronicznej</w:t>
      </w:r>
      <w:r w:rsidRPr="00FE708B">
        <w:rPr>
          <w:rFonts w:eastAsia="Times New Roman" w:cstheme="minorHAnsi"/>
          <w:sz w:val="24"/>
          <w:szCs w:val="24"/>
        </w:rPr>
        <w:t xml:space="preserve">. </w:t>
      </w:r>
    </w:p>
    <w:p w14:paraId="4B7428CB" w14:textId="77777777" w:rsidR="004F4D97" w:rsidRPr="00FE708B" w:rsidRDefault="00E97F99" w:rsidP="001B56C4">
      <w:pPr>
        <w:pStyle w:val="N2"/>
        <w:rPr>
          <w:rFonts w:asciiTheme="minorHAnsi" w:hAnsiTheme="minorHAnsi" w:cstheme="minorHAnsi"/>
        </w:rPr>
      </w:pPr>
      <w:bookmarkStart w:id="17" w:name="_Toc8896938"/>
      <w:r w:rsidRPr="00FE708B">
        <w:rPr>
          <w:rFonts w:asciiTheme="minorHAnsi" w:hAnsiTheme="minorHAnsi" w:cstheme="minorHAnsi"/>
        </w:rPr>
        <w:t>Wsparcie zamawiającego w zakresie konsultacji, aktualizacji i promocji wyników zamówienia</w:t>
      </w:r>
      <w:bookmarkEnd w:id="17"/>
      <w:r w:rsidRPr="00FE708B">
        <w:rPr>
          <w:rFonts w:asciiTheme="minorHAnsi" w:hAnsiTheme="minorHAnsi" w:cstheme="minorHAnsi"/>
        </w:rPr>
        <w:t xml:space="preserve"> </w:t>
      </w:r>
    </w:p>
    <w:p w14:paraId="424DDC32" w14:textId="407ABBBA" w:rsidR="00E97F99" w:rsidRPr="00FE708B" w:rsidRDefault="00E97F99" w:rsidP="00E97F99">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Po akceptacji raportu końcowego, potwierdzonej stosownym protokołem odbioru, Wykonawca zagwarantuje Zamawiającemu wsparcie merytoryczne w zakresie recenzji, konsultacji, aktualizacji i promocji wyników zamówienia</w:t>
      </w:r>
      <w:r w:rsidR="00D74067">
        <w:rPr>
          <w:rFonts w:asciiTheme="minorHAnsi" w:eastAsiaTheme="minorHAnsi" w:hAnsiTheme="minorHAnsi" w:cstheme="minorHAnsi"/>
          <w:lang w:eastAsia="en-US"/>
        </w:rPr>
        <w:t>:</w:t>
      </w:r>
      <w:r w:rsidRPr="00FE708B">
        <w:rPr>
          <w:rFonts w:asciiTheme="minorHAnsi" w:eastAsiaTheme="minorHAnsi" w:hAnsiTheme="minorHAnsi" w:cstheme="minorHAnsi"/>
          <w:lang w:eastAsia="en-US"/>
        </w:rPr>
        <w:t xml:space="preserve"> </w:t>
      </w:r>
    </w:p>
    <w:p w14:paraId="40054BF2" w14:textId="24C63270" w:rsidR="00E97F99" w:rsidRPr="00FE708B" w:rsidRDefault="00D74067"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w</w:t>
      </w:r>
      <w:r w:rsidR="00E97F99" w:rsidRPr="00FE708B">
        <w:rPr>
          <w:rFonts w:asciiTheme="minorHAnsi" w:eastAsia="Times New Roman" w:hAnsiTheme="minorHAnsi" w:cstheme="minorHAnsi"/>
          <w:sz w:val="24"/>
          <w:szCs w:val="24"/>
          <w:lang w:eastAsia="pl-PL"/>
        </w:rPr>
        <w:t xml:space="preserve">yniki raportu końcowego z rekomendacjami z ewaluacji zostaną poddane konsultacjom z głównymi i pośrednimi odbiorcami ewaluacji, w tym przeprowadzone zostaną uzgodnienia rekomendacji ewaluacyjnych z ich adresatami. Proces konsultacji raportu z ewaluacji zostanie zorganizowany zgodnie z Wytycznymi w zakresie ewaluacji polityki spójności na lata 2014-2020 (MIiR/H/2014-2020/27(1)09/2015). Zakres konsultacji wyników zamówienia zostanie szczegółowo określony przez Zamawiającego na etapie realizacji umowy. Odpowiednie zasoby techniczno-organizacyjne na potrzeby ww. konsultacji zostaną zapewnione przez Zamawiającego (m.in. korespondencja z uczestnikami, organizacja spotkań, sala, sprzęt multimedialny itp.). </w:t>
      </w:r>
    </w:p>
    <w:p w14:paraId="263F5E54" w14:textId="6F495709" w:rsidR="00E97F99" w:rsidRPr="003B4282" w:rsidRDefault="00E97F99" w:rsidP="00A033F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3B4282">
        <w:rPr>
          <w:rFonts w:asciiTheme="minorHAnsi" w:eastAsia="Times New Roman" w:hAnsiTheme="minorHAnsi" w:cstheme="minorHAnsi"/>
          <w:sz w:val="24"/>
          <w:szCs w:val="24"/>
          <w:lang w:eastAsia="pl-PL"/>
        </w:rPr>
        <w:t>Wykonawca, w okresie objętym zamówieniem, na prośbę Zamawiającego, dokona aktualizacji raportu końcowego, uwzględniając niezbędne zmiany oraz aktualizacje danych i zapisów, wynikające z procesu konsultacji - w terminie 15 dni od zgłoszenia zakresu zmian, po uprzednim uzgodnieniu tych zmian z Zamawiającym. Łączny zakres zmian wynikających z konsultacji i aktualizacji opracowań nie przekroczy 10% objętości ich wersji ostatecznej.</w:t>
      </w:r>
    </w:p>
    <w:p w14:paraId="68128711" w14:textId="77777777" w:rsidR="007906A0" w:rsidRPr="00FE708B" w:rsidRDefault="007906A0" w:rsidP="007906A0">
      <w:pPr>
        <w:pStyle w:val="N1"/>
        <w:ind w:left="357" w:hanging="357"/>
        <w:rPr>
          <w:rFonts w:asciiTheme="minorHAnsi" w:hAnsiTheme="minorHAnsi" w:cstheme="minorHAnsi"/>
        </w:rPr>
      </w:pPr>
      <w:bookmarkStart w:id="18" w:name="_Toc8896939"/>
      <w:r w:rsidRPr="00FE708B">
        <w:rPr>
          <w:rFonts w:asciiTheme="minorHAnsi" w:hAnsiTheme="minorHAnsi" w:cstheme="minorHAnsi"/>
        </w:rPr>
        <w:t>Zasady odbioru i akceptacji produktów badania</w:t>
      </w:r>
      <w:bookmarkEnd w:id="18"/>
      <w:r w:rsidRPr="00FE708B">
        <w:rPr>
          <w:rFonts w:asciiTheme="minorHAnsi" w:hAnsiTheme="minorHAnsi" w:cstheme="minorHAnsi"/>
        </w:rPr>
        <w:t xml:space="preserve"> </w:t>
      </w:r>
    </w:p>
    <w:p w14:paraId="29D48D1D" w14:textId="77777777" w:rsidR="007906A0" w:rsidRPr="00FE708B" w:rsidRDefault="007906A0" w:rsidP="00D74067">
      <w:pPr>
        <w:numPr>
          <w:ilvl w:val="0"/>
          <w:numId w:val="22"/>
        </w:numPr>
        <w:spacing w:before="120" w:after="120" w:line="360" w:lineRule="auto"/>
        <w:ind w:hanging="720"/>
        <w:rPr>
          <w:rFonts w:cstheme="minorHAnsi"/>
          <w:iCs/>
          <w:sz w:val="24"/>
          <w:szCs w:val="24"/>
        </w:rPr>
      </w:pPr>
      <w:r w:rsidRPr="00FE708B">
        <w:rPr>
          <w:rFonts w:cstheme="minorHAnsi"/>
          <w:iCs/>
          <w:sz w:val="24"/>
          <w:szCs w:val="24"/>
        </w:rPr>
        <w:t xml:space="preserve">Zamawiający ma prawo do oceny i kontroli wykonywanego zamówienia w każdej jego </w:t>
      </w:r>
      <w:r w:rsidR="00FC1BA6" w:rsidRPr="00FE708B">
        <w:rPr>
          <w:rFonts w:cstheme="minorHAnsi"/>
          <w:iCs/>
          <w:sz w:val="24"/>
          <w:szCs w:val="24"/>
        </w:rPr>
        <w:t>części</w:t>
      </w:r>
      <w:r w:rsidRPr="00FE708B">
        <w:rPr>
          <w:rFonts w:cstheme="minorHAnsi"/>
          <w:iCs/>
          <w:sz w:val="24"/>
          <w:szCs w:val="24"/>
        </w:rPr>
        <w:t>.</w:t>
      </w:r>
    </w:p>
    <w:p w14:paraId="5A3667A0" w14:textId="77777777" w:rsidR="007906A0" w:rsidRPr="00FE708B" w:rsidRDefault="007906A0" w:rsidP="00D74067">
      <w:pPr>
        <w:pStyle w:val="Tekstpodstawowy2"/>
        <w:numPr>
          <w:ilvl w:val="0"/>
          <w:numId w:val="22"/>
        </w:numPr>
        <w:spacing w:before="120" w:after="120"/>
        <w:ind w:hanging="720"/>
        <w:jc w:val="left"/>
        <w:rPr>
          <w:rFonts w:asciiTheme="minorHAnsi" w:hAnsiTheme="minorHAnsi" w:cstheme="minorHAnsi"/>
          <w:iCs/>
          <w:sz w:val="24"/>
          <w:szCs w:val="24"/>
          <w:lang w:eastAsia="en-US"/>
        </w:rPr>
      </w:pPr>
      <w:r w:rsidRPr="00FE708B">
        <w:rPr>
          <w:rFonts w:asciiTheme="minorHAnsi" w:hAnsiTheme="minorHAnsi" w:cstheme="minorHAnsi"/>
          <w:iCs/>
          <w:sz w:val="24"/>
          <w:szCs w:val="24"/>
          <w:lang w:eastAsia="en-US"/>
        </w:rPr>
        <w:t xml:space="preserve">Wykonawca zobowiązuje się wykonywać dzieło i przedkładać je do odbioru Zamawiającemu na zasadach i w terminach określonych w ostatecznym (zaakceptowanym przez Zamawiającego) raporcie metodologicznym. </w:t>
      </w:r>
    </w:p>
    <w:p w14:paraId="74325A03" w14:textId="1DAE3989" w:rsidR="007906A0" w:rsidRPr="00FE708B" w:rsidRDefault="007906A0" w:rsidP="00D74067">
      <w:pPr>
        <w:numPr>
          <w:ilvl w:val="0"/>
          <w:numId w:val="22"/>
        </w:numPr>
        <w:spacing w:before="120" w:after="120" w:line="360" w:lineRule="auto"/>
        <w:ind w:hanging="720"/>
        <w:rPr>
          <w:rFonts w:cstheme="minorHAnsi"/>
          <w:iCs/>
          <w:sz w:val="24"/>
          <w:szCs w:val="24"/>
        </w:rPr>
      </w:pPr>
      <w:r w:rsidRPr="00FE708B">
        <w:rPr>
          <w:rFonts w:cstheme="minorHAnsi"/>
          <w:iCs/>
          <w:sz w:val="24"/>
          <w:szCs w:val="24"/>
        </w:rPr>
        <w:lastRenderedPageBreak/>
        <w:t xml:space="preserve">Zamawiający w terminie 10 dni od dostarczenia przez Wykonawcę wyników prac jest zobowiązany je przyjąć </w:t>
      </w:r>
      <w:r w:rsidRPr="003B4282">
        <w:rPr>
          <w:rFonts w:cstheme="minorHAnsi"/>
          <w:iCs/>
          <w:sz w:val="24"/>
          <w:szCs w:val="24"/>
        </w:rPr>
        <w:t xml:space="preserve">lub wskazać (wielokrotnie, w formie elektronicznej na adres email </w:t>
      </w:r>
      <w:r w:rsidR="003B4282" w:rsidRPr="003B4282">
        <w:rPr>
          <w:rFonts w:cstheme="minorHAnsi"/>
          <w:iCs/>
          <w:sz w:val="24"/>
          <w:szCs w:val="24"/>
        </w:rPr>
        <w:t>Kierownika projektu</w:t>
      </w:r>
      <w:r w:rsidRPr="003B4282">
        <w:rPr>
          <w:rFonts w:cstheme="minorHAnsi"/>
          <w:iCs/>
          <w:sz w:val="24"/>
          <w:szCs w:val="24"/>
        </w:rPr>
        <w:t>), jakie</w:t>
      </w:r>
      <w:r w:rsidRPr="00FE708B">
        <w:rPr>
          <w:rFonts w:cstheme="minorHAnsi"/>
          <w:iCs/>
          <w:sz w:val="24"/>
          <w:szCs w:val="24"/>
        </w:rPr>
        <w:t xml:space="preserve"> zgłasza do nich zastrzeżenia. Brak zastrzeżeń Zamawiającego w tym terminie oznacza, że Zamawiający przyjął wyniki prac bez zastrzeżeń.</w:t>
      </w:r>
    </w:p>
    <w:p w14:paraId="4AB40CB7" w14:textId="77777777" w:rsidR="007906A0" w:rsidRPr="00FE708B" w:rsidRDefault="007906A0" w:rsidP="00D74067">
      <w:pPr>
        <w:numPr>
          <w:ilvl w:val="0"/>
          <w:numId w:val="22"/>
        </w:numPr>
        <w:spacing w:before="120" w:after="120" w:line="360" w:lineRule="auto"/>
        <w:ind w:hanging="720"/>
        <w:rPr>
          <w:rFonts w:cstheme="minorHAnsi"/>
          <w:iCs/>
          <w:sz w:val="24"/>
          <w:szCs w:val="24"/>
        </w:rPr>
      </w:pPr>
      <w:r w:rsidRPr="00FE708B">
        <w:rPr>
          <w:rFonts w:cstheme="minorHAnsi"/>
          <w:iCs/>
          <w:sz w:val="24"/>
          <w:szCs w:val="24"/>
        </w:rPr>
        <w:t xml:space="preserve">Poprawienie, uzupełnienie i przekazanie przez Wykonawcę Zamawiającemu wyników prac objętych zastrzeżeniami, o których mowa w pkt. </w:t>
      </w:r>
      <w:r w:rsidR="00FC1BA6" w:rsidRPr="00FE708B">
        <w:rPr>
          <w:rFonts w:cstheme="minorHAnsi"/>
          <w:iCs/>
          <w:sz w:val="24"/>
          <w:szCs w:val="24"/>
        </w:rPr>
        <w:t>3</w:t>
      </w:r>
      <w:r w:rsidRPr="00FE708B">
        <w:rPr>
          <w:rFonts w:cstheme="minorHAnsi"/>
          <w:iCs/>
          <w:sz w:val="24"/>
          <w:szCs w:val="24"/>
        </w:rPr>
        <w:t>, nastąpi w ciągu 5 dni od otrzymania przez Wykonawcę zastrzeżeń Zamawiającego.</w:t>
      </w:r>
    </w:p>
    <w:p w14:paraId="7858AA69" w14:textId="229F1F0A" w:rsidR="007906A0" w:rsidRPr="000D2895" w:rsidRDefault="007906A0" w:rsidP="000D2895">
      <w:pPr>
        <w:pStyle w:val="Tekstpodstawowy2"/>
        <w:numPr>
          <w:ilvl w:val="0"/>
          <w:numId w:val="22"/>
        </w:numPr>
        <w:spacing w:before="120" w:after="120"/>
        <w:ind w:hanging="720"/>
        <w:jc w:val="left"/>
        <w:rPr>
          <w:rFonts w:asciiTheme="minorHAnsi" w:hAnsiTheme="minorHAnsi" w:cstheme="minorHAnsi"/>
          <w:iCs/>
          <w:sz w:val="24"/>
          <w:szCs w:val="24"/>
          <w:lang w:eastAsia="en-US"/>
        </w:rPr>
      </w:pPr>
      <w:r w:rsidRPr="00FE708B">
        <w:rPr>
          <w:rFonts w:asciiTheme="minorHAnsi" w:hAnsiTheme="minorHAnsi" w:cstheme="minorHAnsi"/>
          <w:iCs/>
          <w:sz w:val="24"/>
          <w:szCs w:val="24"/>
          <w:lang w:eastAsia="en-US"/>
        </w:rPr>
        <w:t>Jeśli Zamawiający zgłosił zastrzeżenia do wyników prac wykonanych nienależycie lub nieprawidłowo, w tym w szczególności zastrzeżenia dotyczące jakości, rzetelności, poprawności merytorycznej, a Wykonawca nie uwzględnił zastrzeżeń, w tym szczególności nie usunął zgłoszonych wad, usterek lub nieścisłości</w:t>
      </w:r>
      <w:r w:rsidR="000A7DA0" w:rsidRPr="00FE708B">
        <w:rPr>
          <w:rFonts w:asciiTheme="minorHAnsi" w:hAnsiTheme="minorHAnsi" w:cstheme="minorHAnsi"/>
          <w:iCs/>
          <w:sz w:val="24"/>
          <w:szCs w:val="24"/>
          <w:lang w:eastAsia="en-US"/>
        </w:rPr>
        <w:t>,</w:t>
      </w:r>
      <w:r w:rsidRPr="00FE708B">
        <w:rPr>
          <w:rFonts w:asciiTheme="minorHAnsi" w:hAnsiTheme="minorHAnsi" w:cstheme="minorHAnsi"/>
          <w:iCs/>
          <w:sz w:val="24"/>
          <w:szCs w:val="24"/>
          <w:lang w:eastAsia="en-US"/>
        </w:rPr>
        <w:t xml:space="preserve"> </w:t>
      </w:r>
      <w:r w:rsidRPr="005D4DA7">
        <w:rPr>
          <w:rFonts w:asciiTheme="minorHAnsi" w:hAnsiTheme="minorHAnsi" w:cstheme="minorHAnsi"/>
          <w:iCs/>
          <w:sz w:val="24"/>
          <w:szCs w:val="24"/>
          <w:lang w:eastAsia="en-US"/>
        </w:rPr>
        <w:t>Zamawiający poinformuje o tym Wykonawcę oraz może wedle swojego wyboru, niezależnie od prawa do naliczenia kar umownych, o których mowa w umowie odmówić przyjęcia</w:t>
      </w:r>
      <w:r w:rsidRPr="00FE708B">
        <w:rPr>
          <w:rFonts w:asciiTheme="minorHAnsi" w:hAnsiTheme="minorHAnsi" w:cstheme="minorHAnsi"/>
          <w:iCs/>
          <w:sz w:val="24"/>
          <w:szCs w:val="24"/>
          <w:lang w:eastAsia="en-US"/>
        </w:rPr>
        <w:t xml:space="preserve"> dzieła, które nie zostało wykonane należycie lub którego prawidłowego wykonania Wykonawca nie wykazał, a także może żądać prawidłowego wykonania dzieła </w:t>
      </w:r>
      <w:r w:rsidR="000D2895">
        <w:rPr>
          <w:rFonts w:asciiTheme="minorHAnsi" w:hAnsiTheme="minorHAnsi" w:cstheme="minorHAnsi"/>
          <w:iCs/>
          <w:sz w:val="24"/>
          <w:szCs w:val="24"/>
          <w:lang w:eastAsia="en-US"/>
        </w:rPr>
        <w:br/>
      </w:r>
      <w:r w:rsidRPr="000D2895">
        <w:rPr>
          <w:rFonts w:asciiTheme="minorHAnsi" w:hAnsiTheme="minorHAnsi" w:cstheme="minorHAnsi"/>
          <w:iCs/>
          <w:sz w:val="24"/>
          <w:szCs w:val="24"/>
          <w:lang w:eastAsia="en-US"/>
        </w:rPr>
        <w:t>w terminie przez siebie wyznaczonym.</w:t>
      </w:r>
    </w:p>
    <w:p w14:paraId="7C8E677E" w14:textId="77777777" w:rsidR="007906A0" w:rsidRPr="00FE708B" w:rsidRDefault="007906A0" w:rsidP="00D74067">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 xml:space="preserve">Powyżej opisane zasady nie mają zastosowania w przypadku działania opisanego w podpunkcie 4.4. „Wsparcie Zamawiającego w zakresie konsultacji, aktualizacji i promocji wyników zamówienia”. </w:t>
      </w:r>
    </w:p>
    <w:p w14:paraId="7E253598" w14:textId="77777777" w:rsidR="007906A0" w:rsidRPr="00FE708B" w:rsidRDefault="007906A0" w:rsidP="007906A0">
      <w:pPr>
        <w:pStyle w:val="N1"/>
        <w:ind w:left="357" w:hanging="357"/>
        <w:rPr>
          <w:rFonts w:asciiTheme="minorHAnsi" w:hAnsiTheme="minorHAnsi" w:cstheme="minorHAnsi"/>
        </w:rPr>
      </w:pPr>
      <w:bookmarkStart w:id="19" w:name="_Toc8896940"/>
      <w:r w:rsidRPr="00FE708B">
        <w:rPr>
          <w:rFonts w:asciiTheme="minorHAnsi" w:hAnsiTheme="minorHAnsi" w:cstheme="minorHAnsi"/>
        </w:rPr>
        <w:t>Harmonogram badania</w:t>
      </w:r>
      <w:bookmarkEnd w:id="19"/>
      <w:r w:rsidRPr="00FE708B">
        <w:rPr>
          <w:rFonts w:asciiTheme="minorHAnsi" w:hAnsiTheme="minorHAnsi" w:cstheme="minorHAnsi"/>
        </w:rPr>
        <w:t xml:space="preserve"> </w:t>
      </w:r>
    </w:p>
    <w:p w14:paraId="74860CEA" w14:textId="740DE491" w:rsidR="007906A0" w:rsidRPr="00FE708B" w:rsidRDefault="007906A0" w:rsidP="007906A0">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W terminie 1 tygodnia</w:t>
      </w:r>
      <w:r w:rsidR="000D2895">
        <w:rPr>
          <w:rFonts w:asciiTheme="minorHAnsi" w:eastAsiaTheme="minorHAnsi" w:hAnsiTheme="minorHAnsi" w:cstheme="minorHAnsi"/>
          <w:lang w:eastAsia="en-US"/>
        </w:rPr>
        <w:t xml:space="preserve"> </w:t>
      </w:r>
      <w:r w:rsidRPr="00FE708B">
        <w:rPr>
          <w:rFonts w:asciiTheme="minorHAnsi" w:eastAsiaTheme="minorHAnsi" w:hAnsiTheme="minorHAnsi" w:cstheme="minorHAnsi"/>
          <w:lang w:eastAsia="en-US"/>
        </w:rPr>
        <w:t xml:space="preserve">od zawarcia umowy odbędzie się spotkanie otwierające. Podczas tego spotkania Wykonawca przedstawi Zamawiającemu harmonogram realizacji zamówienia </w:t>
      </w:r>
      <w:r w:rsidR="00A15C50">
        <w:rPr>
          <w:rFonts w:asciiTheme="minorHAnsi" w:eastAsiaTheme="minorHAnsi" w:hAnsiTheme="minorHAnsi" w:cstheme="minorHAnsi"/>
          <w:lang w:eastAsia="en-US"/>
        </w:rPr>
        <w:br/>
      </w:r>
      <w:r w:rsidRPr="00FE708B">
        <w:rPr>
          <w:rFonts w:asciiTheme="minorHAnsi" w:eastAsiaTheme="minorHAnsi" w:hAnsiTheme="minorHAnsi" w:cstheme="minorHAnsi"/>
          <w:lang w:eastAsia="en-US"/>
        </w:rPr>
        <w:t xml:space="preserve">w postaci wykresu Gantta. W harmonogramie powinny zostać wyodrębnione wstępne terminy poszczególnych części badania i kamieni milowych. Harmonogram zostanie uszczegółowiony na etapie prac nad raportem metodologicznym. </w:t>
      </w:r>
      <w:r w:rsidR="00A15C50">
        <w:rPr>
          <w:rFonts w:asciiTheme="minorHAnsi" w:eastAsiaTheme="minorHAnsi" w:hAnsiTheme="minorHAnsi" w:cstheme="minorHAnsi"/>
          <w:lang w:eastAsia="en-US"/>
        </w:rPr>
        <w:t xml:space="preserve"> </w:t>
      </w:r>
    </w:p>
    <w:p w14:paraId="55AA6138" w14:textId="77777777" w:rsidR="007906A0" w:rsidRPr="00FE708B" w:rsidRDefault="007906A0" w:rsidP="007906A0">
      <w:pPr>
        <w:pStyle w:val="NormalnyWeb"/>
        <w:shd w:val="clear" w:color="auto" w:fill="FFFFFF"/>
        <w:spacing w:before="120" w:after="120" w:line="360" w:lineRule="auto"/>
        <w:rPr>
          <w:rFonts w:asciiTheme="minorHAnsi" w:eastAsiaTheme="minorHAnsi" w:hAnsiTheme="minorHAnsi" w:cstheme="minorHAnsi"/>
          <w:lang w:eastAsia="en-US"/>
        </w:rPr>
      </w:pPr>
      <w:r w:rsidRPr="00FE708B">
        <w:rPr>
          <w:rFonts w:asciiTheme="minorHAnsi" w:eastAsiaTheme="minorHAnsi" w:hAnsiTheme="minorHAnsi" w:cstheme="minorHAnsi"/>
          <w:lang w:eastAsia="en-US"/>
        </w:rPr>
        <w:t>Kamienie milowe:</w:t>
      </w:r>
    </w:p>
    <w:p w14:paraId="0460970F"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Spotkanie otwierające – do 1 tygodnia od zawarcia umowy.</w:t>
      </w:r>
    </w:p>
    <w:p w14:paraId="088FDBA4"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 xml:space="preserve">Przekazanie wstępnej wersji raportu metodologicznego – do </w:t>
      </w:r>
      <w:r w:rsidR="00A31DC0" w:rsidRPr="00FE708B">
        <w:rPr>
          <w:rFonts w:asciiTheme="minorHAnsi" w:eastAsia="Times New Roman" w:hAnsiTheme="minorHAnsi" w:cstheme="minorHAnsi"/>
          <w:sz w:val="24"/>
          <w:szCs w:val="24"/>
          <w:lang w:eastAsia="pl-PL"/>
        </w:rPr>
        <w:t>3</w:t>
      </w:r>
      <w:r w:rsidRPr="00FE708B">
        <w:rPr>
          <w:rFonts w:asciiTheme="minorHAnsi" w:eastAsia="Times New Roman" w:hAnsiTheme="minorHAnsi" w:cstheme="minorHAnsi"/>
          <w:sz w:val="24"/>
          <w:szCs w:val="24"/>
          <w:lang w:eastAsia="pl-PL"/>
        </w:rPr>
        <w:t xml:space="preserve"> tygodni od zawarcia umowy.</w:t>
      </w:r>
    </w:p>
    <w:p w14:paraId="11E9D71B"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lastRenderedPageBreak/>
        <w:t>Przekazanie ostatecznej wersji raportu metodologicznego – do 10 tygodni od zawarcia umowy.</w:t>
      </w:r>
    </w:p>
    <w:p w14:paraId="52EDE6F2"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 xml:space="preserve">Termin przekazania raportu końcowego w wersji roboczej – nie później niż do </w:t>
      </w:r>
      <w:r w:rsidR="00A31DC0" w:rsidRPr="00FE708B">
        <w:rPr>
          <w:rFonts w:asciiTheme="minorHAnsi" w:eastAsia="Times New Roman" w:hAnsiTheme="minorHAnsi" w:cstheme="minorHAnsi"/>
          <w:sz w:val="24"/>
          <w:szCs w:val="24"/>
          <w:lang w:eastAsia="pl-PL"/>
        </w:rPr>
        <w:t>16</w:t>
      </w:r>
      <w:r w:rsidRPr="00FE708B">
        <w:rPr>
          <w:rFonts w:asciiTheme="minorHAnsi" w:eastAsia="Times New Roman" w:hAnsiTheme="minorHAnsi" w:cstheme="minorHAnsi"/>
          <w:sz w:val="24"/>
          <w:szCs w:val="24"/>
          <w:lang w:eastAsia="pl-PL"/>
        </w:rPr>
        <w:t xml:space="preserve"> </w:t>
      </w:r>
      <w:r w:rsidR="00A31DC0" w:rsidRPr="00FE708B">
        <w:rPr>
          <w:rFonts w:asciiTheme="minorHAnsi" w:eastAsia="Times New Roman" w:hAnsiTheme="minorHAnsi" w:cstheme="minorHAnsi"/>
          <w:sz w:val="24"/>
          <w:szCs w:val="24"/>
          <w:lang w:eastAsia="pl-PL"/>
        </w:rPr>
        <w:t>stycznia</w:t>
      </w:r>
      <w:r w:rsidRPr="00FE708B">
        <w:rPr>
          <w:rFonts w:asciiTheme="minorHAnsi" w:eastAsia="Times New Roman" w:hAnsiTheme="minorHAnsi" w:cstheme="minorHAnsi"/>
          <w:sz w:val="24"/>
          <w:szCs w:val="24"/>
          <w:lang w:eastAsia="pl-PL"/>
        </w:rPr>
        <w:t xml:space="preserve"> </w:t>
      </w:r>
      <w:r w:rsidR="00A31DC0" w:rsidRPr="00FE708B">
        <w:rPr>
          <w:rFonts w:asciiTheme="minorHAnsi" w:eastAsia="Times New Roman" w:hAnsiTheme="minorHAnsi" w:cstheme="minorHAnsi"/>
          <w:sz w:val="24"/>
          <w:szCs w:val="24"/>
          <w:lang w:eastAsia="pl-PL"/>
        </w:rPr>
        <w:t>2020</w:t>
      </w:r>
      <w:r w:rsidRPr="00FE708B">
        <w:rPr>
          <w:rFonts w:asciiTheme="minorHAnsi" w:eastAsia="Times New Roman" w:hAnsiTheme="minorHAnsi" w:cstheme="minorHAnsi"/>
          <w:sz w:val="24"/>
          <w:szCs w:val="24"/>
          <w:lang w:eastAsia="pl-PL"/>
        </w:rPr>
        <w:t xml:space="preserve"> r.</w:t>
      </w:r>
    </w:p>
    <w:p w14:paraId="0BC1BE57"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 xml:space="preserve">Termin przedłożenia Zamawiającemu raportu końcowego w wersji ostatecznej </w:t>
      </w:r>
      <w:r w:rsidR="00A31DC0" w:rsidRPr="00FE708B">
        <w:rPr>
          <w:rFonts w:asciiTheme="minorHAnsi" w:eastAsia="Times New Roman" w:hAnsiTheme="minorHAnsi" w:cstheme="minorHAnsi"/>
          <w:sz w:val="24"/>
          <w:szCs w:val="24"/>
          <w:lang w:eastAsia="pl-PL"/>
        </w:rPr>
        <w:t>– nie później niż do 10 lutego</w:t>
      </w:r>
      <w:r w:rsidRPr="00FE708B">
        <w:rPr>
          <w:rFonts w:asciiTheme="minorHAnsi" w:eastAsia="Times New Roman" w:hAnsiTheme="minorHAnsi" w:cstheme="minorHAnsi"/>
          <w:sz w:val="24"/>
          <w:szCs w:val="24"/>
          <w:lang w:eastAsia="pl-PL"/>
        </w:rPr>
        <w:t xml:space="preserve"> 20</w:t>
      </w:r>
      <w:r w:rsidR="00A31DC0" w:rsidRPr="00FE708B">
        <w:rPr>
          <w:rFonts w:asciiTheme="minorHAnsi" w:eastAsia="Times New Roman" w:hAnsiTheme="minorHAnsi" w:cstheme="minorHAnsi"/>
          <w:sz w:val="24"/>
          <w:szCs w:val="24"/>
          <w:lang w:eastAsia="pl-PL"/>
        </w:rPr>
        <w:t>20</w:t>
      </w:r>
      <w:r w:rsidRPr="00FE708B">
        <w:rPr>
          <w:rFonts w:asciiTheme="minorHAnsi" w:eastAsia="Times New Roman" w:hAnsiTheme="minorHAnsi" w:cstheme="minorHAnsi"/>
          <w:sz w:val="24"/>
          <w:szCs w:val="24"/>
          <w:lang w:eastAsia="pl-PL"/>
        </w:rPr>
        <w:t xml:space="preserve"> r. </w:t>
      </w:r>
    </w:p>
    <w:p w14:paraId="22AFBCB7"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 xml:space="preserve">Termin przedstawienia przez Wykonawcę wyników ewaluacji w formie publicznej prezentacji (na spotkaniu zorganizowanym przez Zamawiającego) – nie później niż do </w:t>
      </w:r>
      <w:r w:rsidR="00B00DB5" w:rsidRPr="00FE708B">
        <w:rPr>
          <w:rFonts w:asciiTheme="minorHAnsi" w:eastAsia="Times New Roman" w:hAnsiTheme="minorHAnsi" w:cstheme="minorHAnsi"/>
          <w:sz w:val="24"/>
          <w:szCs w:val="24"/>
          <w:lang w:eastAsia="pl-PL"/>
        </w:rPr>
        <w:t xml:space="preserve">30 kwietnia </w:t>
      </w:r>
      <w:r w:rsidRPr="00FE708B">
        <w:rPr>
          <w:rFonts w:asciiTheme="minorHAnsi" w:eastAsia="Times New Roman" w:hAnsiTheme="minorHAnsi" w:cstheme="minorHAnsi"/>
          <w:sz w:val="24"/>
          <w:szCs w:val="24"/>
          <w:lang w:eastAsia="pl-PL"/>
        </w:rPr>
        <w:t>20</w:t>
      </w:r>
      <w:r w:rsidR="00A31DC0" w:rsidRPr="00FE708B">
        <w:rPr>
          <w:rFonts w:asciiTheme="minorHAnsi" w:eastAsia="Times New Roman" w:hAnsiTheme="minorHAnsi" w:cstheme="minorHAnsi"/>
          <w:sz w:val="24"/>
          <w:szCs w:val="24"/>
          <w:lang w:eastAsia="pl-PL"/>
        </w:rPr>
        <w:t>20</w:t>
      </w:r>
      <w:r w:rsidRPr="00FE708B">
        <w:rPr>
          <w:rFonts w:asciiTheme="minorHAnsi" w:eastAsia="Times New Roman" w:hAnsiTheme="minorHAnsi" w:cstheme="minorHAnsi"/>
          <w:sz w:val="24"/>
          <w:szCs w:val="24"/>
          <w:lang w:eastAsia="pl-PL"/>
        </w:rPr>
        <w:t xml:space="preserve"> r.</w:t>
      </w:r>
    </w:p>
    <w:p w14:paraId="4AE7794B" w14:textId="77777777" w:rsidR="007906A0" w:rsidRPr="00FE708B" w:rsidRDefault="007906A0" w:rsidP="009B4369">
      <w:pPr>
        <w:pStyle w:val="Akapitzlist"/>
        <w:numPr>
          <w:ilvl w:val="0"/>
          <w:numId w:val="21"/>
        </w:numPr>
        <w:spacing w:before="120" w:after="120" w:line="360" w:lineRule="auto"/>
        <w:ind w:hanging="357"/>
        <w:rPr>
          <w:rFonts w:asciiTheme="minorHAnsi" w:eastAsia="Times New Roman" w:hAnsiTheme="minorHAnsi" w:cstheme="minorHAnsi"/>
          <w:sz w:val="24"/>
          <w:szCs w:val="24"/>
          <w:lang w:eastAsia="pl-PL"/>
        </w:rPr>
      </w:pPr>
      <w:r w:rsidRPr="00FE708B">
        <w:rPr>
          <w:rFonts w:asciiTheme="minorHAnsi" w:eastAsia="Times New Roman" w:hAnsiTheme="minorHAnsi" w:cstheme="minorHAnsi"/>
          <w:sz w:val="24"/>
          <w:szCs w:val="24"/>
          <w:lang w:eastAsia="pl-PL"/>
        </w:rPr>
        <w:t xml:space="preserve">Wsparcie Zamawiającego w zakresie konsultacji, aktualizacji i promocji wyników zamówienia – w okresie od </w:t>
      </w:r>
      <w:r w:rsidR="00A31DC0" w:rsidRPr="00FE708B">
        <w:rPr>
          <w:rFonts w:asciiTheme="minorHAnsi" w:eastAsia="Times New Roman" w:hAnsiTheme="minorHAnsi" w:cstheme="minorHAnsi"/>
          <w:sz w:val="24"/>
          <w:szCs w:val="24"/>
          <w:lang w:eastAsia="pl-PL"/>
        </w:rPr>
        <w:t>10</w:t>
      </w:r>
      <w:r w:rsidRPr="00FE708B">
        <w:rPr>
          <w:rFonts w:asciiTheme="minorHAnsi" w:eastAsia="Times New Roman" w:hAnsiTheme="minorHAnsi" w:cstheme="minorHAnsi"/>
          <w:sz w:val="24"/>
          <w:szCs w:val="24"/>
          <w:lang w:eastAsia="pl-PL"/>
        </w:rPr>
        <w:t xml:space="preserve"> </w:t>
      </w:r>
      <w:r w:rsidR="00A31DC0" w:rsidRPr="00FE708B">
        <w:rPr>
          <w:rFonts w:asciiTheme="minorHAnsi" w:eastAsia="Times New Roman" w:hAnsiTheme="minorHAnsi" w:cstheme="minorHAnsi"/>
          <w:sz w:val="24"/>
          <w:szCs w:val="24"/>
          <w:lang w:eastAsia="pl-PL"/>
        </w:rPr>
        <w:t>lutego</w:t>
      </w:r>
      <w:r w:rsidRPr="00FE708B">
        <w:rPr>
          <w:rFonts w:asciiTheme="minorHAnsi" w:eastAsia="Times New Roman" w:hAnsiTheme="minorHAnsi" w:cstheme="minorHAnsi"/>
          <w:sz w:val="24"/>
          <w:szCs w:val="24"/>
          <w:lang w:eastAsia="pl-PL"/>
        </w:rPr>
        <w:t xml:space="preserve"> 20</w:t>
      </w:r>
      <w:r w:rsidR="00527DB5" w:rsidRPr="00FE708B">
        <w:rPr>
          <w:rFonts w:asciiTheme="minorHAnsi" w:eastAsia="Times New Roman" w:hAnsiTheme="minorHAnsi" w:cstheme="minorHAnsi"/>
          <w:sz w:val="24"/>
          <w:szCs w:val="24"/>
          <w:lang w:eastAsia="pl-PL"/>
        </w:rPr>
        <w:t>20</w:t>
      </w:r>
      <w:r w:rsidRPr="00FE708B">
        <w:rPr>
          <w:rFonts w:asciiTheme="minorHAnsi" w:eastAsia="Times New Roman" w:hAnsiTheme="minorHAnsi" w:cstheme="minorHAnsi"/>
          <w:sz w:val="24"/>
          <w:szCs w:val="24"/>
          <w:lang w:eastAsia="pl-PL"/>
        </w:rPr>
        <w:t xml:space="preserve"> do 30 kwietnia 20</w:t>
      </w:r>
      <w:r w:rsidR="00A31DC0" w:rsidRPr="00FE708B">
        <w:rPr>
          <w:rFonts w:asciiTheme="minorHAnsi" w:eastAsia="Times New Roman" w:hAnsiTheme="minorHAnsi" w:cstheme="minorHAnsi"/>
          <w:sz w:val="24"/>
          <w:szCs w:val="24"/>
          <w:lang w:eastAsia="pl-PL"/>
        </w:rPr>
        <w:t>20</w:t>
      </w:r>
      <w:r w:rsidRPr="00FE708B">
        <w:rPr>
          <w:rFonts w:asciiTheme="minorHAnsi" w:eastAsia="Times New Roman" w:hAnsiTheme="minorHAnsi" w:cstheme="minorHAnsi"/>
          <w:sz w:val="24"/>
          <w:szCs w:val="24"/>
          <w:lang w:eastAsia="pl-PL"/>
        </w:rPr>
        <w:t xml:space="preserve"> r. </w:t>
      </w:r>
    </w:p>
    <w:p w14:paraId="01FCD1C7" w14:textId="77777777" w:rsidR="00B505F5" w:rsidRPr="00FE708B" w:rsidRDefault="00B505F5" w:rsidP="00B505F5">
      <w:pPr>
        <w:pStyle w:val="N1"/>
        <w:ind w:left="357" w:hanging="357"/>
        <w:rPr>
          <w:rFonts w:asciiTheme="minorHAnsi" w:hAnsiTheme="minorHAnsi" w:cstheme="minorHAnsi"/>
        </w:rPr>
      </w:pPr>
      <w:bookmarkStart w:id="20" w:name="_Toc8896941"/>
      <w:r w:rsidRPr="00FE708B">
        <w:rPr>
          <w:rFonts w:asciiTheme="minorHAnsi" w:hAnsiTheme="minorHAnsi" w:cstheme="minorHAnsi"/>
        </w:rPr>
        <w:t>Zespół wykonawczy</w:t>
      </w:r>
      <w:bookmarkEnd w:id="20"/>
    </w:p>
    <w:p w14:paraId="5B08837A" w14:textId="77777777" w:rsidR="00B505F5" w:rsidRPr="00FE708B" w:rsidRDefault="00B505F5" w:rsidP="009B4369">
      <w:pPr>
        <w:pStyle w:val="Akapitzlist"/>
        <w:numPr>
          <w:ilvl w:val="1"/>
          <w:numId w:val="12"/>
        </w:numPr>
        <w:spacing w:before="120" w:after="120" w:line="360" w:lineRule="auto"/>
        <w:ind w:left="709"/>
        <w:rPr>
          <w:rFonts w:asciiTheme="minorHAnsi" w:hAnsiTheme="minorHAnsi" w:cstheme="minorHAnsi"/>
          <w:sz w:val="24"/>
          <w:szCs w:val="24"/>
        </w:rPr>
      </w:pPr>
      <w:r w:rsidRPr="00FE708B">
        <w:rPr>
          <w:rFonts w:asciiTheme="minorHAnsi" w:hAnsiTheme="minorHAnsi" w:cstheme="minorHAnsi"/>
          <w:sz w:val="24"/>
          <w:szCs w:val="24"/>
        </w:rPr>
        <w:t xml:space="preserve">Poza ekspertami przedstawionymi w Ofercie, przed przystąpieniem do realizacji zamówienia Wykonawca zapewni w ramach zespołu wykonującego zamówienie </w:t>
      </w:r>
      <w:r w:rsidR="00B00DB5" w:rsidRPr="00FE708B">
        <w:rPr>
          <w:rFonts w:asciiTheme="minorHAnsi" w:hAnsiTheme="minorHAnsi" w:cstheme="minorHAnsi"/>
          <w:sz w:val="24"/>
          <w:szCs w:val="24"/>
        </w:rPr>
        <w:t xml:space="preserve">doświadczonych badaczy </w:t>
      </w:r>
      <w:r w:rsidRPr="00FE708B">
        <w:rPr>
          <w:rFonts w:asciiTheme="minorHAnsi" w:hAnsiTheme="minorHAnsi" w:cstheme="minorHAnsi"/>
          <w:sz w:val="24"/>
          <w:szCs w:val="24"/>
        </w:rPr>
        <w:t xml:space="preserve">jakościowych (nie mniej niż </w:t>
      </w:r>
      <w:r w:rsidR="00B00DB5" w:rsidRPr="00FE708B">
        <w:rPr>
          <w:rFonts w:asciiTheme="minorHAnsi" w:hAnsiTheme="minorHAnsi" w:cstheme="minorHAnsi"/>
          <w:sz w:val="24"/>
          <w:szCs w:val="24"/>
        </w:rPr>
        <w:t>4</w:t>
      </w:r>
      <w:r w:rsidRPr="00FE708B">
        <w:rPr>
          <w:rFonts w:asciiTheme="minorHAnsi" w:hAnsiTheme="minorHAnsi" w:cstheme="minorHAnsi"/>
          <w:sz w:val="24"/>
          <w:szCs w:val="24"/>
        </w:rPr>
        <w:t xml:space="preserve">, nie więcej niż </w:t>
      </w:r>
      <w:r w:rsidR="00B00DB5" w:rsidRPr="00FE708B">
        <w:rPr>
          <w:rFonts w:asciiTheme="minorHAnsi" w:hAnsiTheme="minorHAnsi" w:cstheme="minorHAnsi"/>
          <w:sz w:val="24"/>
          <w:szCs w:val="24"/>
        </w:rPr>
        <w:t>8 osób</w:t>
      </w:r>
      <w:r w:rsidRPr="00FE708B">
        <w:rPr>
          <w:rFonts w:asciiTheme="minorHAnsi" w:hAnsiTheme="minorHAnsi" w:cstheme="minorHAnsi"/>
          <w:sz w:val="24"/>
          <w:szCs w:val="24"/>
        </w:rPr>
        <w:t>)  odpowiedzialnych za przeprowadzenie indywidualnych wywiadów pogłębionych oraz analizę pozyskanych dzięki wywiadom informacji.</w:t>
      </w:r>
    </w:p>
    <w:p w14:paraId="70A8C466" w14:textId="540678A0" w:rsidR="00B505F5" w:rsidRPr="00FE708B" w:rsidRDefault="00B505F5" w:rsidP="009B4369">
      <w:pPr>
        <w:pStyle w:val="Akapitzlist"/>
        <w:numPr>
          <w:ilvl w:val="1"/>
          <w:numId w:val="12"/>
        </w:numPr>
        <w:spacing w:before="120" w:after="120" w:line="360" w:lineRule="auto"/>
        <w:ind w:left="709"/>
        <w:rPr>
          <w:rFonts w:asciiTheme="minorHAnsi" w:hAnsiTheme="minorHAnsi" w:cstheme="minorHAnsi"/>
          <w:sz w:val="24"/>
          <w:szCs w:val="24"/>
        </w:rPr>
      </w:pPr>
      <w:r w:rsidRPr="00FE708B">
        <w:rPr>
          <w:rFonts w:asciiTheme="minorHAnsi" w:hAnsiTheme="minorHAnsi" w:cstheme="minorHAnsi"/>
          <w:sz w:val="24"/>
          <w:szCs w:val="24"/>
        </w:rPr>
        <w:t>Wykonawca przedłoży do akceptacji Zamawiającemu nie później niż w terminie 1 tygodnia  od dnia podpisania umowy, życiorysy zawodowe ww. ekspertów</w:t>
      </w:r>
      <w:r w:rsidR="000A7DA0" w:rsidRPr="00FE708B">
        <w:rPr>
          <w:rFonts w:asciiTheme="minorHAnsi" w:hAnsiTheme="minorHAnsi" w:cstheme="minorHAnsi"/>
          <w:sz w:val="24"/>
          <w:szCs w:val="24"/>
        </w:rPr>
        <w:t>.</w:t>
      </w:r>
      <w:r w:rsidRPr="00FE708B">
        <w:rPr>
          <w:rFonts w:asciiTheme="minorHAnsi" w:hAnsiTheme="minorHAnsi" w:cstheme="minorHAnsi"/>
          <w:sz w:val="24"/>
          <w:szCs w:val="24"/>
        </w:rPr>
        <w:t xml:space="preserve"> Zamawiający ma prawo zgłoszenia uwag do przedstawionego życiorysu w terminie do </w:t>
      </w:r>
      <w:r w:rsidR="009B5A7F" w:rsidRPr="00FE708B">
        <w:rPr>
          <w:rFonts w:asciiTheme="minorHAnsi" w:hAnsiTheme="minorHAnsi" w:cstheme="minorHAnsi"/>
          <w:sz w:val="24"/>
          <w:szCs w:val="24"/>
        </w:rPr>
        <w:t>5</w:t>
      </w:r>
      <w:r w:rsidRPr="00FE708B">
        <w:rPr>
          <w:rFonts w:asciiTheme="minorHAnsi" w:hAnsiTheme="minorHAnsi" w:cstheme="minorHAnsi"/>
          <w:sz w:val="24"/>
          <w:szCs w:val="24"/>
        </w:rPr>
        <w:t xml:space="preserve"> dni od przedstawienia ich przez Wykonawcę. Brak uwag w tym terminie oznacza akceptację. W przypadku zgłoszenia uwag, Wykonawca będzie zobowiązany uwzględnić uwagi zgłoszone przez Zamawiającego (nie wyłączając obowiązku przedstawienia propozycji innych osób) i przedstawić ponownie do akceptacji Zamawiającemu poprawiony życiorys zawodowy eksperta w terminie do 3 dni. </w:t>
      </w:r>
      <w:r w:rsidR="00A15C50">
        <w:rPr>
          <w:rFonts w:asciiTheme="minorHAnsi" w:hAnsiTheme="minorHAnsi" w:cstheme="minorHAnsi"/>
          <w:sz w:val="24"/>
          <w:szCs w:val="24"/>
        </w:rPr>
        <w:br/>
      </w:r>
      <w:bookmarkStart w:id="21" w:name="_GoBack"/>
      <w:bookmarkEnd w:id="21"/>
      <w:r w:rsidRPr="00FE708B">
        <w:rPr>
          <w:rFonts w:asciiTheme="minorHAnsi" w:hAnsiTheme="minorHAnsi" w:cstheme="minorHAnsi"/>
          <w:sz w:val="24"/>
          <w:szCs w:val="24"/>
        </w:rPr>
        <w:t xml:space="preserve">W przypadku braku akceptacji ze strony Zamawiającego ponownie przedstawionego </w:t>
      </w:r>
      <w:r w:rsidR="000D2895">
        <w:rPr>
          <w:rFonts w:asciiTheme="minorHAnsi" w:hAnsiTheme="minorHAnsi" w:cstheme="minorHAnsi"/>
          <w:sz w:val="24"/>
          <w:szCs w:val="24"/>
        </w:rPr>
        <w:br/>
      </w:r>
      <w:r w:rsidRPr="00FE708B">
        <w:rPr>
          <w:rFonts w:asciiTheme="minorHAnsi" w:hAnsiTheme="minorHAnsi" w:cstheme="minorHAnsi"/>
          <w:sz w:val="24"/>
          <w:szCs w:val="24"/>
        </w:rPr>
        <w:t>i poprawionego życiorysu, Zamawiający może wyznaczyć Wykonawcy kolejny termin na poprawę i uwzględnienie uwag, z zastrzeżeniem, że cały proces akceptacji od momentu przedłożenia pierwszej wersji życiorysu zawodowego do jego przyjęcia przez Zamawiającego nie może trwać dłużej niż 15 dni.</w:t>
      </w:r>
    </w:p>
    <w:p w14:paraId="15836F2C" w14:textId="77777777" w:rsidR="00627543" w:rsidRPr="00FE708B" w:rsidRDefault="00B505F5" w:rsidP="009B4369">
      <w:pPr>
        <w:pStyle w:val="Akapitzlist"/>
        <w:numPr>
          <w:ilvl w:val="1"/>
          <w:numId w:val="12"/>
        </w:numPr>
        <w:spacing w:before="120" w:after="120" w:line="360" w:lineRule="auto"/>
        <w:ind w:left="709"/>
        <w:rPr>
          <w:rFonts w:asciiTheme="minorHAnsi" w:hAnsiTheme="minorHAnsi" w:cstheme="minorHAnsi"/>
          <w:sz w:val="24"/>
          <w:szCs w:val="24"/>
        </w:rPr>
      </w:pPr>
      <w:r w:rsidRPr="00FE708B">
        <w:rPr>
          <w:rFonts w:asciiTheme="minorHAnsi" w:hAnsiTheme="minorHAnsi" w:cstheme="minorHAnsi"/>
          <w:sz w:val="24"/>
          <w:szCs w:val="24"/>
        </w:rPr>
        <w:lastRenderedPageBreak/>
        <w:t>Jeżeli usługi objęte przedmiotem Zamówienia zostaną wykonane przez ekspertów niezaakceptowanych uprzednio przez Zamawiającego, prace wykonane z ich udziałem nie zostaną przez Zamawiającego przyjęte.</w:t>
      </w:r>
    </w:p>
    <w:p w14:paraId="6E4CB709" w14:textId="5295E345" w:rsidR="009B5A7F" w:rsidRPr="00FE708B" w:rsidRDefault="009B5A7F" w:rsidP="009B5A7F">
      <w:pPr>
        <w:spacing w:before="120" w:after="120" w:line="360" w:lineRule="auto"/>
        <w:rPr>
          <w:rFonts w:eastAsia="Times New Roman" w:cstheme="minorHAnsi"/>
          <w:sz w:val="24"/>
          <w:szCs w:val="24"/>
        </w:rPr>
      </w:pPr>
      <w:r w:rsidRPr="00FE708B">
        <w:rPr>
          <w:rFonts w:eastAsia="Times New Roman" w:cstheme="minorHAnsi"/>
          <w:sz w:val="24"/>
          <w:szCs w:val="24"/>
        </w:rPr>
        <w:t xml:space="preserve">W przypadku zmiany lub zwiększenia </w:t>
      </w:r>
      <w:r w:rsidR="001F22AA" w:rsidRPr="00FE708B">
        <w:rPr>
          <w:rFonts w:eastAsia="Times New Roman" w:cstheme="minorHAnsi"/>
          <w:sz w:val="24"/>
          <w:szCs w:val="24"/>
        </w:rPr>
        <w:t>liczby</w:t>
      </w:r>
      <w:r w:rsidR="001F22AA">
        <w:rPr>
          <w:rFonts w:eastAsia="Times New Roman" w:cstheme="minorHAnsi"/>
          <w:sz w:val="24"/>
          <w:szCs w:val="24"/>
        </w:rPr>
        <w:t xml:space="preserve"> badaczy jakościowych, o których mowa wyżej, Wykonawca i Zamawiający postępują w sposób </w:t>
      </w:r>
      <w:r w:rsidRPr="00FE708B">
        <w:rPr>
          <w:rFonts w:eastAsia="Times New Roman" w:cstheme="minorHAnsi"/>
          <w:sz w:val="24"/>
          <w:szCs w:val="24"/>
        </w:rPr>
        <w:t xml:space="preserve">analogiczny do opisanego </w:t>
      </w:r>
      <w:r w:rsidR="001F22AA">
        <w:rPr>
          <w:rFonts w:eastAsia="Times New Roman" w:cstheme="minorHAnsi"/>
          <w:sz w:val="24"/>
          <w:szCs w:val="24"/>
        </w:rPr>
        <w:t>w umowie (§ 3 Personel)</w:t>
      </w:r>
      <w:r w:rsidRPr="00FE708B">
        <w:rPr>
          <w:rFonts w:eastAsia="Times New Roman" w:cstheme="minorHAnsi"/>
          <w:sz w:val="24"/>
          <w:szCs w:val="24"/>
        </w:rPr>
        <w:t>.</w:t>
      </w:r>
    </w:p>
    <w:p w14:paraId="1016BC20" w14:textId="243D4621" w:rsidR="009B5A7F" w:rsidRPr="00FE708B" w:rsidRDefault="003E5C3B" w:rsidP="009B5A7F">
      <w:pPr>
        <w:pStyle w:val="N1"/>
        <w:ind w:left="357" w:hanging="357"/>
        <w:rPr>
          <w:rFonts w:asciiTheme="minorHAnsi" w:hAnsiTheme="minorHAnsi" w:cstheme="minorHAnsi"/>
        </w:rPr>
      </w:pPr>
      <w:bookmarkStart w:id="22" w:name="_Toc8896942"/>
      <w:r w:rsidRPr="00FE708B">
        <w:rPr>
          <w:rFonts w:asciiTheme="minorHAnsi" w:hAnsiTheme="minorHAnsi" w:cstheme="minorHAnsi"/>
        </w:rPr>
        <w:t xml:space="preserve">Techniki analityczne i tabele </w:t>
      </w:r>
      <w:r w:rsidR="00304122" w:rsidRPr="00FE708B">
        <w:rPr>
          <w:rFonts w:asciiTheme="minorHAnsi" w:hAnsiTheme="minorHAnsi" w:cstheme="minorHAnsi"/>
        </w:rPr>
        <w:t>statystyczne (</w:t>
      </w:r>
      <w:r w:rsidRPr="00FE708B">
        <w:rPr>
          <w:rFonts w:asciiTheme="minorHAnsi" w:hAnsiTheme="minorHAnsi" w:cstheme="minorHAnsi"/>
        </w:rPr>
        <w:t>wynikowe</w:t>
      </w:r>
      <w:r w:rsidR="00304122" w:rsidRPr="00FE708B">
        <w:rPr>
          <w:rFonts w:asciiTheme="minorHAnsi" w:hAnsiTheme="minorHAnsi" w:cstheme="minorHAnsi"/>
        </w:rPr>
        <w:t>)</w:t>
      </w:r>
      <w:bookmarkEnd w:id="22"/>
    </w:p>
    <w:p w14:paraId="533BC1CF"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t>Oczekuje się od Wykonawcy zastosowania szeregu technik analitycznych – od najbardziej podstawowych, takich jak statystyki opisowe (rozkłady odpowiedzi, średnia, mediana, itp.) poprzez bardziej złożone (regresja/korelacja krocząca), po złożone techniki analityczne (np. analiza czynnikowe itp.). Ponadto Wykonawca opracowując wyniki badania przeprowadzi testy istotności statystycznej.</w:t>
      </w:r>
      <w:r w:rsidR="00304122" w:rsidRPr="00FE708B">
        <w:rPr>
          <w:rFonts w:eastAsia="Times New Roman" w:cstheme="minorHAnsi"/>
          <w:sz w:val="24"/>
          <w:szCs w:val="24"/>
        </w:rPr>
        <w:t xml:space="preserve"> Zwracamy uwagę, że na etapie przygotowywania ostatecznego raportu metodologicznego oczekuje się od Wykonawcy, aby ten w oparciu o przygotowane narzędzia do badania ilościowego opisał planowane przez niego analizy statystyczne. </w:t>
      </w:r>
    </w:p>
    <w:p w14:paraId="36870628"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t xml:space="preserve">Tabele statystyczne zostaną przygotowane w formacie.xlsx. Rekomenduje się, aby w tabele miały układ zmienna zależna (np. w wierszu), zmienna niezależna (w kolumnie). W miarę możliwości w osobnych arkuszach powinny zostać zawarte pytania dla poszczególnych bloków tematycznych kwestionariusza, natomiast w pierwszym arkuszu powinien zostać zawarty zautomatyzowany spis treści pozwalający, po wejściu na hiperłącze, przejść do odpowiedniego bloku lub odpowiedniego pytania danego bloku. </w:t>
      </w:r>
    </w:p>
    <w:p w14:paraId="7503EBD8" w14:textId="77777777" w:rsidR="003E5C3B" w:rsidRPr="00FE708B" w:rsidRDefault="003E5C3B" w:rsidP="003E5C3B">
      <w:pPr>
        <w:tabs>
          <w:tab w:val="num" w:pos="360"/>
        </w:tabs>
        <w:jc w:val="both"/>
        <w:rPr>
          <w:rFonts w:cstheme="minorHAnsi"/>
        </w:rPr>
      </w:pPr>
    </w:p>
    <w:p w14:paraId="327BA9F7" w14:textId="77777777" w:rsidR="003E5C3B" w:rsidRPr="00FE708B" w:rsidRDefault="003E5C3B" w:rsidP="003E5C3B">
      <w:pPr>
        <w:pStyle w:val="Legenda"/>
        <w:keepNext/>
        <w:rPr>
          <w:rFonts w:cstheme="minorHAnsi"/>
          <w:sz w:val="24"/>
          <w:szCs w:val="24"/>
        </w:rPr>
      </w:pPr>
      <w:r w:rsidRPr="00FE708B">
        <w:rPr>
          <w:rFonts w:cstheme="minorHAnsi"/>
          <w:sz w:val="24"/>
          <w:szCs w:val="24"/>
        </w:rPr>
        <w:t xml:space="preserve">Rysunek </w:t>
      </w:r>
      <w:r w:rsidRPr="00FE708B">
        <w:rPr>
          <w:rFonts w:cstheme="minorHAnsi"/>
          <w:sz w:val="24"/>
          <w:szCs w:val="24"/>
        </w:rPr>
        <w:fldChar w:fldCharType="begin"/>
      </w:r>
      <w:r w:rsidRPr="00FE708B">
        <w:rPr>
          <w:rFonts w:cstheme="minorHAnsi"/>
          <w:sz w:val="24"/>
          <w:szCs w:val="24"/>
        </w:rPr>
        <w:instrText xml:space="preserve"> SEQ Rysunek \* ARABIC </w:instrText>
      </w:r>
      <w:r w:rsidRPr="00FE708B">
        <w:rPr>
          <w:rFonts w:cstheme="minorHAnsi"/>
          <w:sz w:val="24"/>
          <w:szCs w:val="24"/>
        </w:rPr>
        <w:fldChar w:fldCharType="separate"/>
      </w:r>
      <w:r w:rsidRPr="00FE708B">
        <w:rPr>
          <w:rFonts w:cstheme="minorHAnsi"/>
          <w:noProof/>
          <w:sz w:val="24"/>
          <w:szCs w:val="24"/>
        </w:rPr>
        <w:t>1</w:t>
      </w:r>
      <w:r w:rsidRPr="00FE708B">
        <w:rPr>
          <w:rFonts w:cstheme="minorHAnsi"/>
          <w:sz w:val="24"/>
          <w:szCs w:val="24"/>
        </w:rPr>
        <w:fldChar w:fldCharType="end"/>
      </w:r>
      <w:r w:rsidRPr="00FE708B">
        <w:rPr>
          <w:rFonts w:cstheme="minorHAnsi"/>
          <w:sz w:val="24"/>
          <w:szCs w:val="24"/>
        </w:rPr>
        <w:t xml:space="preserve"> Zarys nawigacji tabel wynikowych (statystycznych)</w:t>
      </w:r>
    </w:p>
    <w:p w14:paraId="4D34432B" w14:textId="77777777" w:rsidR="003E5C3B" w:rsidRPr="00FE708B" w:rsidRDefault="003E5C3B" w:rsidP="003E5C3B">
      <w:pPr>
        <w:tabs>
          <w:tab w:val="num" w:pos="360"/>
        </w:tabs>
        <w:jc w:val="both"/>
        <w:rPr>
          <w:rFonts w:cstheme="minorHAnsi"/>
          <w:noProof/>
          <w:lang w:eastAsia="pl-PL"/>
        </w:rPr>
      </w:pPr>
      <w:r w:rsidRPr="00FE708B">
        <w:rPr>
          <w:rFonts w:cstheme="minorHAnsi"/>
          <w:noProof/>
          <w:lang w:eastAsia="pl-PL"/>
        </w:rPr>
        <mc:AlternateContent>
          <mc:Choice Requires="wps">
            <w:drawing>
              <wp:anchor distT="0" distB="0" distL="114300" distR="114300" simplePos="0" relativeHeight="251660288" behindDoc="0" locked="0" layoutInCell="1" allowOverlap="1" wp14:anchorId="767BD48D" wp14:editId="079613D2">
                <wp:simplePos x="0" y="0"/>
                <wp:positionH relativeFrom="column">
                  <wp:posOffset>1122573</wp:posOffset>
                </wp:positionH>
                <wp:positionV relativeFrom="paragraph">
                  <wp:posOffset>633215</wp:posOffset>
                </wp:positionV>
                <wp:extent cx="1000250" cy="45719"/>
                <wp:effectExtent l="0" t="38100" r="47625" b="88265"/>
                <wp:wrapNone/>
                <wp:docPr id="9" name="Łącznik prosty ze strzałką 9"/>
                <wp:cNvGraphicFramePr/>
                <a:graphic xmlns:a="http://schemas.openxmlformats.org/drawingml/2006/main">
                  <a:graphicData uri="http://schemas.microsoft.com/office/word/2010/wordprocessingShape">
                    <wps:wsp>
                      <wps:cNvCnPr/>
                      <wps:spPr>
                        <a:xfrm>
                          <a:off x="0" y="0"/>
                          <a:ext cx="100025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A78095B" id="_x0000_t32" coordsize="21600,21600" o:spt="32" o:oned="t" path="m,l21600,21600e" filled="f">
                <v:path arrowok="t" fillok="f" o:connecttype="none"/>
                <o:lock v:ext="edit" shapetype="t"/>
              </v:shapetype>
              <v:shape id="Łącznik prosty ze strzałką 9" o:spid="_x0000_s1026" type="#_x0000_t32" style="position:absolute;margin-left:88.4pt;margin-top:49.85pt;width:78.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" strokecolor="#5b9bd5 [3204]" strokeweight=".5pt">
                <v:stroke endarrow="block" joinstyle="miter"/>
              </v:shape>
            </w:pict>
          </mc:Fallback>
        </mc:AlternateContent>
      </w:r>
      <w:r w:rsidRPr="00FE708B">
        <w:rPr>
          <w:rFonts w:cstheme="minorHAnsi"/>
          <w:noProof/>
          <w:lang w:eastAsia="pl-PL"/>
        </w:rPr>
        <mc:AlternateContent>
          <mc:Choice Requires="wps">
            <w:drawing>
              <wp:anchor distT="0" distB="0" distL="114300" distR="114300" simplePos="0" relativeHeight="251659264" behindDoc="0" locked="0" layoutInCell="1" allowOverlap="1" wp14:anchorId="238316AA" wp14:editId="77093426">
                <wp:simplePos x="0" y="0"/>
                <wp:positionH relativeFrom="column">
                  <wp:posOffset>765182</wp:posOffset>
                </wp:positionH>
                <wp:positionV relativeFrom="paragraph">
                  <wp:posOffset>498041</wp:posOffset>
                </wp:positionV>
                <wp:extent cx="1358020" cy="9054"/>
                <wp:effectExtent l="0" t="76200" r="13970" b="86360"/>
                <wp:wrapNone/>
                <wp:docPr id="4" name="Łącznik prosty ze strzałką 4"/>
                <wp:cNvGraphicFramePr/>
                <a:graphic xmlns:a="http://schemas.openxmlformats.org/drawingml/2006/main">
                  <a:graphicData uri="http://schemas.microsoft.com/office/word/2010/wordprocessingShape">
                    <wps:wsp>
                      <wps:cNvCnPr/>
                      <wps:spPr>
                        <a:xfrm flipV="1">
                          <a:off x="0" y="0"/>
                          <a:ext cx="1358020" cy="9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136611C" id="Łącznik prosty ze strzałką 4" o:spid="_x0000_s1026" type="#_x0000_t32" style="position:absolute;margin-left:60.25pt;margin-top:39.2pt;width:106.95pt;height:.7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" strokecolor="#5b9bd5 [3204]" strokeweight=".5pt">
                <v:stroke endarrow="block" joinstyle="miter"/>
              </v:shape>
            </w:pict>
          </mc:Fallback>
        </mc:AlternateContent>
      </w:r>
      <w:r w:rsidRPr="00FE708B">
        <w:rPr>
          <w:rFonts w:cstheme="minorHAnsi"/>
          <w:noProof/>
          <w:lang w:eastAsia="pl-PL"/>
        </w:rPr>
        <w:drawing>
          <wp:inline distT="0" distB="0" distL="0" distR="0" wp14:anchorId="37227F14" wp14:editId="4172040C">
            <wp:extent cx="2026920" cy="1934165"/>
            <wp:effectExtent l="0" t="0" r="0" b="9525"/>
            <wp:docPr id="6" name="Obraz 6" descr="Rysunek składa się z dwóch cześci. Na pierwszej pokazany jest spis treści tabel wynikowych oraz zobrazowane za pomocą strzałek powiązanie logiczne spisu z arkuszem zawierającym wyniki badania." title="Zarys nawigacji tabel wynikowych (statystycz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7"/>
                    <a:srcRect t="17176" r="53482" b="3912"/>
                    <a:stretch/>
                  </pic:blipFill>
                  <pic:spPr bwMode="auto">
                    <a:xfrm>
                      <a:off x="0" y="0"/>
                      <a:ext cx="2033632" cy="1940570"/>
                    </a:xfrm>
                    <a:prstGeom prst="rect">
                      <a:avLst/>
                    </a:prstGeom>
                    <a:ln>
                      <a:noFill/>
                    </a:ln>
                    <a:extLst>
                      <a:ext uri="{53640926-AAD7-44D8-BBD7-CCE9431645EC}">
                        <a14:shadowObscured xmlns:a14="http://schemas.microsoft.com/office/drawing/2010/main"/>
                      </a:ext>
                    </a:extLst>
                  </pic:spPr>
                </pic:pic>
              </a:graphicData>
            </a:graphic>
          </wp:inline>
        </w:drawing>
      </w:r>
      <w:r w:rsidRPr="00FE708B">
        <w:rPr>
          <w:rFonts w:cstheme="minorHAnsi"/>
          <w:noProof/>
          <w:lang w:eastAsia="pl-PL"/>
        </w:rPr>
        <w:drawing>
          <wp:inline distT="0" distB="0" distL="0" distR="0" wp14:anchorId="4E121BC5" wp14:editId="27C0457C">
            <wp:extent cx="2629960" cy="1974178"/>
            <wp:effectExtent l="0" t="0" r="0" b="7620"/>
            <wp:docPr id="7" name="Obraz 7" descr="Rysunek pokazuje oczekiwany przez Zamawiającego wygląd tabel wynikowych. Układ kolumna wiersz, gdzie kolumna to zmienne niezależne, a wiersz zmienne zależne. Dodatkowo za pomocą strzałek arkusz jest powiązany ze spisem teści, aby pokazać jak ma wyglądać nawigacja w tabelach wynikowych. " title="Zarys nawigacji tabel wynikowych (statystycz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a:srcRect l="-1" r="27988" b="3913"/>
                    <a:stretch/>
                  </pic:blipFill>
                  <pic:spPr bwMode="auto">
                    <a:xfrm>
                      <a:off x="0" y="0"/>
                      <a:ext cx="2639864" cy="1981612"/>
                    </a:xfrm>
                    <a:prstGeom prst="rect">
                      <a:avLst/>
                    </a:prstGeom>
                    <a:ln>
                      <a:noFill/>
                    </a:ln>
                    <a:extLst>
                      <a:ext uri="{53640926-AAD7-44D8-BBD7-CCE9431645EC}">
                        <a14:shadowObscured xmlns:a14="http://schemas.microsoft.com/office/drawing/2010/main"/>
                      </a:ext>
                    </a:extLst>
                  </pic:spPr>
                </pic:pic>
              </a:graphicData>
            </a:graphic>
          </wp:inline>
        </w:drawing>
      </w:r>
    </w:p>
    <w:p w14:paraId="6901ABAD" w14:textId="77777777" w:rsidR="003E5C3B" w:rsidRPr="00FE708B" w:rsidRDefault="003E5C3B" w:rsidP="003E5C3B">
      <w:pPr>
        <w:tabs>
          <w:tab w:val="num" w:pos="360"/>
        </w:tabs>
        <w:jc w:val="both"/>
        <w:rPr>
          <w:rFonts w:cstheme="minorHAnsi"/>
        </w:rPr>
      </w:pPr>
    </w:p>
    <w:p w14:paraId="0023EAA3"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lastRenderedPageBreak/>
        <w:t xml:space="preserve">Zmienne zapisywane w postaci wartości bezwzględnych (np. wartość dofinansowania) będą w tabelach przedstawiane m.in. za pomocą średniej, mediany, min i max. </w:t>
      </w:r>
    </w:p>
    <w:p w14:paraId="7CED1A12"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t>W przypadku pozostałych zmiennych Wykonawca przygotuje rozkłady cz</w:t>
      </w:r>
      <w:r w:rsidR="00B00DB5" w:rsidRPr="00FE708B">
        <w:rPr>
          <w:rFonts w:eastAsia="Times New Roman" w:cstheme="minorHAnsi"/>
          <w:sz w:val="24"/>
          <w:szCs w:val="24"/>
        </w:rPr>
        <w:t>ę</w:t>
      </w:r>
      <w:r w:rsidRPr="00FE708B">
        <w:rPr>
          <w:rFonts w:eastAsia="Times New Roman" w:cstheme="minorHAnsi"/>
          <w:sz w:val="24"/>
          <w:szCs w:val="24"/>
        </w:rPr>
        <w:t xml:space="preserve">stości oraz średnie (również w przypadku pytań wykorzystujących skale o liczbie punktów 5 lub więcej). Ponadto pytania wykorzystujące skalę pięciopunktową zostaną dodatkowo przedstawione po połączeniu dwóch punktów o najniższej wartości (Low-2-Boxes) i dwóch punktów o najwyższej wartości (Top-2-Boxes). </w:t>
      </w:r>
    </w:p>
    <w:p w14:paraId="2F0E20D9"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t xml:space="preserve">Wykonawca przeprowadzi również testy istotności statystycznej (np. test T Studenta dla średnich i test Z dla rozkładów) i wyróżni w tabelach wartości różniące się w sposób istotny. Zaleca się, aby do wyróżnienia istotności statystycznych zastosować symbole literowe. Przykładowo podgrupy kategorii „klasa wielkości przedsiębiorstwa” otrzymają następujące symbole: A-mikro firmy, B-małe firmy, C-średnie firmy. W przypadku różnicy istotnej statystycznie np. pomiędzy firmami mikro, a pozostałymi przy wyniku dla firm mikro powinien zostać umieszczony symbol podgrupy, wobec której występuje dana różnica np. 38%BC. Jednocześnie Wykonawca powinien poinformować </w:t>
      </w:r>
      <w:r w:rsidR="00EF6681" w:rsidRPr="00FE708B">
        <w:rPr>
          <w:rFonts w:eastAsia="Times New Roman" w:cstheme="minorHAnsi"/>
          <w:sz w:val="24"/>
          <w:szCs w:val="24"/>
        </w:rPr>
        <w:t xml:space="preserve">o </w:t>
      </w:r>
      <w:r w:rsidRPr="00FE708B">
        <w:rPr>
          <w:rFonts w:eastAsia="Times New Roman" w:cstheme="minorHAnsi"/>
          <w:sz w:val="24"/>
          <w:szCs w:val="24"/>
        </w:rPr>
        <w:t xml:space="preserve">sytuacjach, w których do uzyskanych wyników należy podchodzić z ostrożnością ze względu na niewielką liczbę badanych (np. za pomocą umieszczenia przy danym wyniku/podkategorii symbolu *) </w:t>
      </w:r>
    </w:p>
    <w:p w14:paraId="4C0EF3E2" w14:textId="77777777" w:rsidR="003E5C3B" w:rsidRPr="00FE708B" w:rsidRDefault="003E5C3B" w:rsidP="003E5C3B">
      <w:pPr>
        <w:spacing w:before="120" w:after="120" w:line="360" w:lineRule="auto"/>
        <w:rPr>
          <w:rFonts w:eastAsia="Times New Roman" w:cstheme="minorHAnsi"/>
          <w:sz w:val="24"/>
          <w:szCs w:val="24"/>
        </w:rPr>
      </w:pPr>
      <w:r w:rsidRPr="00FE708B">
        <w:rPr>
          <w:rFonts w:eastAsia="Times New Roman" w:cstheme="minorHAnsi"/>
          <w:sz w:val="24"/>
          <w:szCs w:val="24"/>
        </w:rPr>
        <w:t>W tabelach Wykonawca powinien w sposób prawidłowy opisać liczebność, tzn. nie tylko dla ogółu, ale również dla poszczególnych podgrup (dot. zmiennych niezależnych, np. przedstawiając analizę krzyżową, gdzie zmienną niezależną jest kasa wielkości przedsiębiorstwa, przy każdej podgrupie tej zmiennej powinna zostać umieszczona</w:t>
      </w:r>
      <w:r w:rsidR="00B00DB5" w:rsidRPr="00FE708B">
        <w:rPr>
          <w:rFonts w:eastAsia="Times New Roman" w:cstheme="minorHAnsi"/>
          <w:sz w:val="24"/>
          <w:szCs w:val="24"/>
        </w:rPr>
        <w:t xml:space="preserve"> wartość </w:t>
      </w:r>
      <w:r w:rsidRPr="00FE708B">
        <w:rPr>
          <w:rFonts w:eastAsia="Times New Roman" w:cstheme="minorHAnsi"/>
          <w:sz w:val="24"/>
          <w:szCs w:val="24"/>
        </w:rPr>
        <w:t xml:space="preserve"> n). </w:t>
      </w:r>
    </w:p>
    <w:p w14:paraId="74AEF0C7" w14:textId="77777777" w:rsidR="00304122" w:rsidRPr="00FE708B" w:rsidRDefault="00304122" w:rsidP="00304122">
      <w:pPr>
        <w:pStyle w:val="N1"/>
        <w:ind w:left="357" w:hanging="357"/>
        <w:rPr>
          <w:rFonts w:asciiTheme="minorHAnsi" w:hAnsiTheme="minorHAnsi" w:cstheme="minorHAnsi"/>
        </w:rPr>
      </w:pPr>
      <w:bookmarkStart w:id="23" w:name="_Toc8896943"/>
      <w:r w:rsidRPr="00FE708B">
        <w:rPr>
          <w:rFonts w:asciiTheme="minorHAnsi" w:hAnsiTheme="minorHAnsi" w:cstheme="minorHAnsi"/>
        </w:rPr>
        <w:t xml:space="preserve">Analiza danych jakościowych </w:t>
      </w:r>
      <w:r w:rsidR="00F670FC" w:rsidRPr="00FE708B">
        <w:rPr>
          <w:rFonts w:asciiTheme="minorHAnsi" w:hAnsiTheme="minorHAnsi" w:cstheme="minorHAnsi"/>
        </w:rPr>
        <w:t>(IDI/TDI)</w:t>
      </w:r>
      <w:bookmarkEnd w:id="23"/>
    </w:p>
    <w:p w14:paraId="7657EDAA" w14:textId="77777777" w:rsidR="004B2974" w:rsidRPr="00FE708B" w:rsidRDefault="004B2974" w:rsidP="004B2974">
      <w:pPr>
        <w:spacing w:before="120" w:after="120" w:line="360" w:lineRule="auto"/>
        <w:rPr>
          <w:rFonts w:eastAsia="Times New Roman" w:cstheme="minorHAnsi"/>
          <w:sz w:val="24"/>
          <w:szCs w:val="24"/>
        </w:rPr>
      </w:pPr>
      <w:r w:rsidRPr="00FE708B">
        <w:rPr>
          <w:rFonts w:eastAsia="Times New Roman" w:cstheme="minorHAnsi"/>
          <w:sz w:val="24"/>
          <w:szCs w:val="24"/>
        </w:rPr>
        <w:t>Dane pochodzące z badania jakościowego zostaną poddane jakościowej analizie treści. Pod pojęciem jakościowej analizy treści Zamawiający rozumie analizę, której wynik przedstawiany jest w postaci nieliczbowej, rozumian</w:t>
      </w:r>
      <w:r w:rsidR="00B00DB5" w:rsidRPr="00FE708B">
        <w:rPr>
          <w:rFonts w:eastAsia="Times New Roman" w:cstheme="minorHAnsi"/>
          <w:sz w:val="24"/>
          <w:szCs w:val="24"/>
        </w:rPr>
        <w:t xml:space="preserve">ej </w:t>
      </w:r>
      <w:r w:rsidRPr="00FE708B">
        <w:rPr>
          <w:rFonts w:eastAsia="Times New Roman" w:cstheme="minorHAnsi"/>
          <w:sz w:val="24"/>
          <w:szCs w:val="24"/>
        </w:rPr>
        <w:t>jako interpretacj</w:t>
      </w:r>
      <w:r w:rsidR="00B00DB5" w:rsidRPr="00FE708B">
        <w:rPr>
          <w:rFonts w:eastAsia="Times New Roman" w:cstheme="minorHAnsi"/>
          <w:sz w:val="24"/>
          <w:szCs w:val="24"/>
        </w:rPr>
        <w:t>a</w:t>
      </w:r>
      <w:r w:rsidRPr="00FE708B">
        <w:rPr>
          <w:rFonts w:eastAsia="Times New Roman" w:cstheme="minorHAnsi"/>
          <w:sz w:val="24"/>
          <w:szCs w:val="24"/>
        </w:rPr>
        <w:t xml:space="preserve">. Analiza jakościowa powinna zostać przeprowadzona przy wykorzystaniu oprogramowania MAXQDA lub innego programu do analizy danych jakościowych. </w:t>
      </w:r>
    </w:p>
    <w:p w14:paraId="264577D7" w14:textId="77777777" w:rsidR="004B2974" w:rsidRPr="00FE708B" w:rsidRDefault="004B2974" w:rsidP="004B2974">
      <w:pPr>
        <w:spacing w:before="120" w:after="120" w:line="360" w:lineRule="auto"/>
        <w:rPr>
          <w:rFonts w:eastAsia="Times New Roman" w:cstheme="minorHAnsi"/>
          <w:sz w:val="24"/>
          <w:szCs w:val="24"/>
        </w:rPr>
      </w:pPr>
      <w:r w:rsidRPr="00FE708B">
        <w:rPr>
          <w:rFonts w:eastAsia="Times New Roman" w:cstheme="minorHAnsi"/>
          <w:sz w:val="24"/>
          <w:szCs w:val="24"/>
        </w:rPr>
        <w:t xml:space="preserve">Celem analizy będzie zredukowanie zawartości transkrypcji do jej najważniejszych treści i </w:t>
      </w:r>
      <w:r w:rsidR="00B00DB5" w:rsidRPr="00FE708B">
        <w:rPr>
          <w:rFonts w:eastAsia="Times New Roman" w:cstheme="minorHAnsi"/>
          <w:sz w:val="24"/>
          <w:szCs w:val="24"/>
        </w:rPr>
        <w:t xml:space="preserve">pogrupowanie wg istotnych </w:t>
      </w:r>
      <w:r w:rsidRPr="00FE708B">
        <w:rPr>
          <w:rFonts w:eastAsia="Times New Roman" w:cstheme="minorHAnsi"/>
          <w:sz w:val="24"/>
          <w:szCs w:val="24"/>
        </w:rPr>
        <w:t xml:space="preserve">wątków tematycznych. Nastąpi to w procesie kategoryzacji, czyli </w:t>
      </w:r>
      <w:r w:rsidRPr="00FE708B">
        <w:rPr>
          <w:rFonts w:eastAsia="Times New Roman" w:cstheme="minorHAnsi"/>
          <w:sz w:val="24"/>
          <w:szCs w:val="24"/>
        </w:rPr>
        <w:lastRenderedPageBreak/>
        <w:t xml:space="preserve">przypisywania określonych fragmentów treści transkrypcji do wyróżnionych kategorii teoretycznych. </w:t>
      </w:r>
    </w:p>
    <w:p w14:paraId="521327EE" w14:textId="77777777" w:rsidR="004B2974" w:rsidRPr="00FE708B" w:rsidRDefault="004B2974" w:rsidP="004B2974">
      <w:pPr>
        <w:spacing w:before="120" w:after="120" w:line="360" w:lineRule="auto"/>
        <w:rPr>
          <w:rFonts w:eastAsia="Times New Roman" w:cstheme="minorHAnsi"/>
          <w:sz w:val="24"/>
          <w:szCs w:val="24"/>
        </w:rPr>
      </w:pPr>
      <w:r w:rsidRPr="00FE708B">
        <w:rPr>
          <w:rFonts w:eastAsia="Times New Roman" w:cstheme="minorHAnsi"/>
          <w:sz w:val="24"/>
          <w:szCs w:val="24"/>
        </w:rPr>
        <w:t>Punktem wyjścia analizy będzie wielokrotna, uważna lektura transkrypcji, której celem będzie  strukturyzacja obecnych w nich tematów i prezentowanych treści.</w:t>
      </w:r>
    </w:p>
    <w:p w14:paraId="43EFB179" w14:textId="77777777" w:rsidR="004B2974" w:rsidRPr="00FE708B" w:rsidRDefault="004B2974" w:rsidP="004B2974">
      <w:pPr>
        <w:spacing w:before="120" w:after="120" w:line="360" w:lineRule="auto"/>
        <w:rPr>
          <w:rFonts w:eastAsia="Times New Roman" w:cstheme="minorHAnsi"/>
          <w:sz w:val="24"/>
          <w:szCs w:val="24"/>
        </w:rPr>
      </w:pPr>
      <w:r w:rsidRPr="00FE708B">
        <w:rPr>
          <w:rFonts w:eastAsia="Times New Roman" w:cstheme="minorHAnsi"/>
          <w:sz w:val="24"/>
          <w:szCs w:val="24"/>
        </w:rPr>
        <w:t xml:space="preserve">Klucz kategoryzacyjny będzie zbiorem kategorii tematycznych zawartych w transkrypcjach. Będzie on powstawał w sposób emergentny (indukcyjny) –  równolegle z analizą materiału badawczego, w trakcie lektury transkrypcji. Kolejne kategorie będą dodawane do klucza w toku prac empirycznych. Kategorie te będą opisywać występujące w transkrypcjach zagadnienia lub ich aspekty. Konstruując klucz wykonawca zwróci uwagę na powtarzalność kategorii tematycznych i ich wzajemne relacje, przy jednoczesnym dążeniu do uchwycenia ich maksymalnej różnorodności. </w:t>
      </w:r>
    </w:p>
    <w:p w14:paraId="5D784AE4" w14:textId="77777777" w:rsidR="004B2974" w:rsidRPr="00E9489F" w:rsidRDefault="004B2974" w:rsidP="004B2974">
      <w:pPr>
        <w:spacing w:before="120" w:after="120" w:line="360" w:lineRule="auto"/>
        <w:rPr>
          <w:rFonts w:eastAsia="Times New Roman" w:cstheme="minorHAnsi"/>
          <w:sz w:val="24"/>
          <w:szCs w:val="24"/>
        </w:rPr>
      </w:pPr>
      <w:r w:rsidRPr="00FE708B">
        <w:rPr>
          <w:rFonts w:eastAsia="Times New Roman" w:cstheme="minorHAnsi"/>
          <w:sz w:val="24"/>
          <w:szCs w:val="24"/>
        </w:rPr>
        <w:t>Kategorie klucza zostaną zdefiniowane (opisane) w celu przybliżenia sposobu, w jaki są one rozumiane. W opisie kategorii Wykonawca wykorzysta fragmenty/cytaty pochodzące z transkrypcji.</w:t>
      </w:r>
      <w:r w:rsidRPr="00E9489F">
        <w:rPr>
          <w:rFonts w:eastAsia="Times New Roman" w:cstheme="minorHAnsi"/>
          <w:sz w:val="24"/>
          <w:szCs w:val="24"/>
        </w:rPr>
        <w:t xml:space="preserve"> </w:t>
      </w:r>
    </w:p>
    <w:p w14:paraId="6ADE0828" w14:textId="77777777" w:rsidR="004B2974" w:rsidRPr="00E9489F" w:rsidRDefault="004B2974" w:rsidP="004B2974">
      <w:pPr>
        <w:spacing w:before="120" w:after="120" w:line="360" w:lineRule="auto"/>
        <w:rPr>
          <w:rFonts w:eastAsia="Times New Roman" w:cstheme="minorHAnsi"/>
          <w:sz w:val="24"/>
          <w:szCs w:val="24"/>
        </w:rPr>
      </w:pPr>
    </w:p>
    <w:p w14:paraId="62EBE5FC" w14:textId="77777777" w:rsidR="004B2974" w:rsidRPr="00E9489F" w:rsidRDefault="004B2974" w:rsidP="004B2974">
      <w:pPr>
        <w:spacing w:before="120" w:after="120" w:line="360" w:lineRule="auto"/>
        <w:rPr>
          <w:rFonts w:eastAsia="Times New Roman" w:cstheme="minorHAnsi"/>
          <w:sz w:val="24"/>
          <w:szCs w:val="24"/>
        </w:rPr>
      </w:pPr>
    </w:p>
    <w:p w14:paraId="0EE2CD57" w14:textId="77777777" w:rsidR="004B2974" w:rsidRPr="00E9489F" w:rsidRDefault="004B2974" w:rsidP="004B2974">
      <w:pPr>
        <w:spacing w:before="120" w:after="120" w:line="360" w:lineRule="auto"/>
        <w:rPr>
          <w:rFonts w:eastAsia="Times New Roman" w:cstheme="minorHAnsi"/>
          <w:sz w:val="24"/>
          <w:szCs w:val="24"/>
        </w:rPr>
      </w:pPr>
    </w:p>
    <w:p w14:paraId="2DEC3F73" w14:textId="77777777" w:rsidR="00304122" w:rsidRPr="00E9489F" w:rsidRDefault="00304122" w:rsidP="003E5C3B">
      <w:pPr>
        <w:spacing w:before="120" w:after="120" w:line="360" w:lineRule="auto"/>
        <w:rPr>
          <w:rFonts w:eastAsia="Times New Roman" w:cstheme="minorHAnsi"/>
          <w:sz w:val="24"/>
          <w:szCs w:val="24"/>
        </w:rPr>
      </w:pPr>
    </w:p>
    <w:p w14:paraId="5B4AE522" w14:textId="77777777" w:rsidR="003E5C3B" w:rsidRPr="00E9489F" w:rsidRDefault="003E5C3B" w:rsidP="009B5A7F">
      <w:pPr>
        <w:spacing w:before="120" w:after="120" w:line="360" w:lineRule="auto"/>
        <w:rPr>
          <w:rFonts w:eastAsia="Times New Roman" w:cstheme="minorHAnsi"/>
          <w:sz w:val="24"/>
          <w:szCs w:val="24"/>
        </w:rPr>
      </w:pPr>
    </w:p>
    <w:p w14:paraId="634538B1" w14:textId="77777777" w:rsidR="009B5A7F" w:rsidRPr="00E9489F" w:rsidRDefault="009B5A7F" w:rsidP="009B5A7F">
      <w:pPr>
        <w:pStyle w:val="Akapitzlist"/>
        <w:spacing w:before="120" w:after="120" w:line="360" w:lineRule="auto"/>
        <w:ind w:left="709"/>
        <w:rPr>
          <w:rFonts w:asciiTheme="minorHAnsi" w:hAnsiTheme="minorHAnsi" w:cstheme="minorHAnsi"/>
          <w:sz w:val="24"/>
          <w:szCs w:val="24"/>
        </w:rPr>
      </w:pPr>
    </w:p>
    <w:sectPr w:rsidR="009B5A7F" w:rsidRPr="00E9489F" w:rsidSect="0085402F">
      <w:headerReference w:type="default" r:id="rId39"/>
      <w:footerReference w:type="default" r:id="rId40"/>
      <w:pgSz w:w="11906" w:h="16838"/>
      <w:pgMar w:top="1134"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4B2ADB" w16cid:durableId="209A4DB1"/>
  <w16cid:commentId w16cid:paraId="5A13CA78" w16cid:durableId="209A4EF8"/>
  <w16cid:commentId w16cid:paraId="444B3FFA" w16cid:durableId="209A4DB2"/>
  <w16cid:commentId w16cid:paraId="1EFC2D90" w16cid:durableId="209A4F44"/>
  <w16cid:commentId w16cid:paraId="4B6CBFE2" w16cid:durableId="209A4DB3"/>
  <w16cid:commentId w16cid:paraId="6DAF9619" w16cid:durableId="209A4FB7"/>
  <w16cid:commentId w16cid:paraId="041E33B3" w16cid:durableId="209A4DB4"/>
  <w16cid:commentId w16cid:paraId="15B1FBD3" w16cid:durableId="209A50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9C696" w14:textId="77777777" w:rsidR="00A11E76" w:rsidRDefault="00A11E76" w:rsidP="00801539">
      <w:r>
        <w:separator/>
      </w:r>
    </w:p>
  </w:endnote>
  <w:endnote w:type="continuationSeparator" w:id="0">
    <w:p w14:paraId="7662FDAF" w14:textId="77777777" w:rsidR="00A11E76" w:rsidRDefault="00A11E76" w:rsidP="00801539">
      <w:r>
        <w:continuationSeparator/>
      </w:r>
    </w:p>
  </w:endnote>
  <w:endnote w:type="continuationNotice" w:id="1">
    <w:p w14:paraId="162E405F" w14:textId="77777777" w:rsidR="00A11E76" w:rsidRDefault="00A11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296621"/>
      <w:docPartObj>
        <w:docPartGallery w:val="Page Numbers (Bottom of Page)"/>
        <w:docPartUnique/>
      </w:docPartObj>
    </w:sdtPr>
    <w:sdtEndPr>
      <w:rPr>
        <w:sz w:val="16"/>
        <w:szCs w:val="16"/>
      </w:rPr>
    </w:sdtEndPr>
    <w:sdtContent>
      <w:p w14:paraId="5AF19A1A" w14:textId="1A6C3DDD" w:rsidR="001F22AA" w:rsidRPr="003D2BF9" w:rsidRDefault="001F22AA">
        <w:pPr>
          <w:pStyle w:val="Stopka"/>
          <w:jc w:val="right"/>
          <w:rPr>
            <w:sz w:val="16"/>
            <w:szCs w:val="16"/>
          </w:rPr>
        </w:pPr>
        <w:r w:rsidRPr="003D2BF9">
          <w:rPr>
            <w:sz w:val="16"/>
            <w:szCs w:val="16"/>
          </w:rPr>
          <w:fldChar w:fldCharType="begin"/>
        </w:r>
        <w:r w:rsidRPr="003D2BF9">
          <w:rPr>
            <w:sz w:val="16"/>
            <w:szCs w:val="16"/>
          </w:rPr>
          <w:instrText>PAGE   \* MERGEFORMAT</w:instrText>
        </w:r>
        <w:r w:rsidRPr="003D2BF9">
          <w:rPr>
            <w:sz w:val="16"/>
            <w:szCs w:val="16"/>
          </w:rPr>
          <w:fldChar w:fldCharType="separate"/>
        </w:r>
        <w:r w:rsidR="00A15C50">
          <w:rPr>
            <w:noProof/>
            <w:sz w:val="16"/>
            <w:szCs w:val="16"/>
          </w:rPr>
          <w:t>37</w:t>
        </w:r>
        <w:r w:rsidRPr="003D2BF9">
          <w:rPr>
            <w:sz w:val="16"/>
            <w:szCs w:val="16"/>
          </w:rPr>
          <w:fldChar w:fldCharType="end"/>
        </w:r>
      </w:p>
    </w:sdtContent>
  </w:sdt>
  <w:p w14:paraId="36F69F9B" w14:textId="77777777" w:rsidR="001F22AA" w:rsidRDefault="001F22A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99BD1" w14:textId="77777777" w:rsidR="00A11E76" w:rsidRDefault="00A11E76" w:rsidP="00801539">
      <w:r>
        <w:separator/>
      </w:r>
    </w:p>
  </w:footnote>
  <w:footnote w:type="continuationSeparator" w:id="0">
    <w:p w14:paraId="580B004A" w14:textId="77777777" w:rsidR="00A11E76" w:rsidRDefault="00A11E76" w:rsidP="00801539">
      <w:r>
        <w:continuationSeparator/>
      </w:r>
    </w:p>
  </w:footnote>
  <w:footnote w:type="continuationNotice" w:id="1">
    <w:p w14:paraId="3F32057C" w14:textId="77777777" w:rsidR="00A11E76" w:rsidRDefault="00A11E76"/>
  </w:footnote>
  <w:footnote w:id="2">
    <w:p w14:paraId="0D00FCBE" w14:textId="77777777" w:rsidR="001F22AA" w:rsidRPr="003D2BF9" w:rsidRDefault="001F22AA" w:rsidP="003D2BF9">
      <w:pPr>
        <w:pStyle w:val="TYTUAKTUprzedmiotregulacjiustawylubrozporzdzenia"/>
        <w:spacing w:before="0" w:after="0" w:line="240" w:lineRule="auto"/>
        <w:jc w:val="both"/>
        <w:rPr>
          <w:sz w:val="20"/>
          <w:szCs w:val="20"/>
        </w:rPr>
      </w:pPr>
      <w:r w:rsidRPr="00FE708B">
        <w:rPr>
          <w:rStyle w:val="Odwoanieprzypisudolnego"/>
          <w:rFonts w:cstheme="minorHAnsi"/>
        </w:rPr>
        <w:footnoteRef/>
      </w:r>
      <w:r w:rsidRPr="00FE708B">
        <w:rPr>
          <w:rFonts w:cstheme="minorHAnsi"/>
        </w:rPr>
        <w:t xml:space="preserve"> </w:t>
      </w:r>
      <w:r w:rsidRPr="003D2BF9">
        <w:rPr>
          <w:rFonts w:asciiTheme="minorHAnsi" w:hAnsiTheme="minorHAnsi" w:cstheme="minorHAnsi"/>
          <w:b w:val="0"/>
          <w:sz w:val="20"/>
          <w:szCs w:val="20"/>
        </w:rPr>
        <w:t xml:space="preserve">usługa rozwojowa – usługa mająca </w:t>
      </w:r>
      <w:r w:rsidRPr="003D2BF9">
        <w:rPr>
          <w:rFonts w:asciiTheme="minorHAnsi" w:hAnsiTheme="minorHAnsi" w:cstheme="minorHAnsi"/>
          <w:b w:val="0"/>
          <w:bCs w:val="0"/>
          <w:sz w:val="20"/>
          <w:szCs w:val="20"/>
        </w:rPr>
        <w:t>na celu nabycie, potwierdzenie lub wzrost wiedzy, umiejętności lub kompetencji społecznych przedsiębiorców lub ich pracowników, w tym przygotowująca do uzyskania kwalifikacji, lub pozwalająca na ich rozwój.</w:t>
      </w:r>
    </w:p>
  </w:footnote>
  <w:footnote w:id="3">
    <w:p w14:paraId="79ECB6B3" w14:textId="77777777" w:rsidR="001F22AA" w:rsidRPr="003D2BF9" w:rsidRDefault="001F22AA" w:rsidP="003D2BF9">
      <w:pPr>
        <w:pStyle w:val="Tekstprzypisudolnego"/>
      </w:pPr>
      <w:r w:rsidRPr="003D2BF9">
        <w:rPr>
          <w:rStyle w:val="Odwoanieprzypisudolnego"/>
        </w:rPr>
        <w:footnoteRef/>
      </w:r>
      <w:r w:rsidRPr="003D2BF9">
        <w:t xml:space="preserve"> </w:t>
      </w:r>
      <w:r w:rsidRPr="003D2BF9">
        <w:rPr>
          <w:rFonts w:eastAsia="Times New Roman" w:cstheme="minorHAnsi"/>
          <w:bCs/>
          <w:lang w:eastAsia="pl-PL"/>
        </w:rPr>
        <w:t>PSF nie funkcjonuje w województwie mazowieckim oraz pomorskim.</w:t>
      </w:r>
      <w:r w:rsidRPr="003D2BF9">
        <w:t xml:space="preserve"> </w:t>
      </w:r>
    </w:p>
  </w:footnote>
  <w:footnote w:id="4">
    <w:p w14:paraId="0929DB48" w14:textId="77777777" w:rsidR="001F22AA" w:rsidRPr="003D2BF9" w:rsidRDefault="001F22AA">
      <w:pPr>
        <w:pStyle w:val="Tekstprzypisudolnego"/>
      </w:pPr>
      <w:r w:rsidRPr="003D2BF9">
        <w:rPr>
          <w:rStyle w:val="Odwoanieprzypisudolnego"/>
        </w:rPr>
        <w:footnoteRef/>
      </w:r>
      <w:r w:rsidRPr="003D2BF9">
        <w:t xml:space="preserve"> Co do zasady z dofinansowanych usług mogą skorzystać przedsiębiorcy mikro, mali oraz średni. Zasady udzielania wsparcia mogą się różnić w zależności od województwa, w którym funkcjonuje PSF. </w:t>
      </w:r>
    </w:p>
  </w:footnote>
  <w:footnote w:id="5">
    <w:p w14:paraId="25CDFC26" w14:textId="77777777" w:rsidR="001F22AA" w:rsidRPr="003D2BF9" w:rsidRDefault="001F22AA">
      <w:pPr>
        <w:pStyle w:val="Tekstprzypisudolnego"/>
      </w:pPr>
      <w:r w:rsidRPr="003D2BF9">
        <w:rPr>
          <w:rStyle w:val="Odwoanieprzypisudolnego"/>
        </w:rPr>
        <w:footnoteRef/>
      </w:r>
      <w:r w:rsidRPr="003D2BF9">
        <w:t xml:space="preserve"> Podobnie jak w przypadku przedsiębiorców zasady wsparcia osób fizycznych mogą się różnic w zależności od województwa, w którym wsparcie to jest dostępne.</w:t>
      </w:r>
    </w:p>
  </w:footnote>
  <w:footnote w:id="6">
    <w:p w14:paraId="6A4F10F9" w14:textId="77777777" w:rsidR="001F22AA" w:rsidRPr="003D2BF9" w:rsidRDefault="001F22AA">
      <w:pPr>
        <w:pStyle w:val="Tekstprzypisudolnego"/>
      </w:pPr>
      <w:r w:rsidRPr="003D2BF9">
        <w:rPr>
          <w:rStyle w:val="Odwoanieprzypisudolnego"/>
        </w:rPr>
        <w:footnoteRef/>
      </w:r>
      <w:r w:rsidRPr="003D2BF9">
        <w:t xml:space="preserve"> </w:t>
      </w:r>
      <w:hyperlink r:id="rId1" w:history="1">
        <w:r w:rsidRPr="003D2BF9">
          <w:rPr>
            <w:rStyle w:val="Hipercze"/>
          </w:rPr>
          <w:t>https://serwis-uslugirozwojowe.parp.gov.pl/baza-wiedzy/faq</w:t>
        </w:r>
      </w:hyperlink>
    </w:p>
  </w:footnote>
  <w:footnote w:id="7">
    <w:p w14:paraId="764B121F" w14:textId="77777777" w:rsidR="001F22AA" w:rsidRPr="003D2BF9" w:rsidRDefault="001F22AA" w:rsidP="003D2BF9">
      <w:pPr>
        <w:pStyle w:val="Tekstprzypisudolnego"/>
      </w:pPr>
      <w:r w:rsidRPr="003D2BF9">
        <w:rPr>
          <w:rStyle w:val="Odwoanieprzypisudolnego"/>
        </w:rPr>
        <w:footnoteRef/>
      </w:r>
      <w:r w:rsidRPr="003D2BF9">
        <w:t xml:space="preserve"> Klient – przedsiębiorcy oraz osoby przez nich delegowane, otrzymujące wsparcie w ramach PSF oraz osoby fizyczne korzystające z tego typu wsparcia (dot. 3 województw, gdzie istnieje taka forma pomocy dla osób fizycznych). </w:t>
      </w:r>
    </w:p>
  </w:footnote>
  <w:footnote w:id="8">
    <w:p w14:paraId="39031E28" w14:textId="77777777" w:rsidR="001F22AA" w:rsidRPr="003D2BF9" w:rsidRDefault="001F22AA" w:rsidP="003D2BF9">
      <w:pPr>
        <w:pStyle w:val="Tekstprzypisudolnego"/>
      </w:pPr>
      <w:r w:rsidRPr="003D2BF9">
        <w:rPr>
          <w:rStyle w:val="Odwoanieprzypisudolnego"/>
        </w:rPr>
        <w:footnoteRef/>
      </w:r>
      <w:r w:rsidRPr="003D2BF9">
        <w:t xml:space="preserve"> Analizie będą poddane zmiany od początku funkcjonowania BUR.</w:t>
      </w:r>
    </w:p>
  </w:footnote>
  <w:footnote w:id="9">
    <w:p w14:paraId="47A8B7C7" w14:textId="77777777" w:rsidR="001F22AA" w:rsidRPr="003D2BF9" w:rsidRDefault="001F22AA" w:rsidP="003D2BF9">
      <w:pPr>
        <w:pStyle w:val="Tekstprzypisudolnego"/>
      </w:pPr>
      <w:r w:rsidRPr="003D2BF9">
        <w:rPr>
          <w:rStyle w:val="Odwoanieprzypisudolnego"/>
        </w:rPr>
        <w:footnoteRef/>
      </w:r>
      <w:r w:rsidRPr="003D2BF9">
        <w:t xml:space="preserve"> Zbiór obejmujący wszystkie jednostki będące przedmiotem badania. Przykładowo Wykonawca powinien sprawdzić różnice pomiędzy strukturą przedsiębiorstw w poszczególnych regionach, a strukturą przedsiębiorstw korzystających z PSF, itd. </w:t>
      </w:r>
    </w:p>
  </w:footnote>
  <w:footnote w:id="10">
    <w:p w14:paraId="2E9F1F91" w14:textId="36983F8B" w:rsidR="001F22AA" w:rsidRPr="003D2BF9" w:rsidRDefault="001F22AA" w:rsidP="003D2BF9">
      <w:pPr>
        <w:pStyle w:val="Tekstprzypisudolnego"/>
      </w:pPr>
      <w:r w:rsidRPr="003D2BF9">
        <w:rPr>
          <w:vertAlign w:val="superscript"/>
        </w:rPr>
        <w:footnoteRef/>
      </w:r>
      <w:r w:rsidRPr="003D2BF9">
        <w:t xml:space="preserve"> Istotną kwestią jest dokonanie analizy relacji pomiędzy kosztami bezpośredniego finansowania usług rozwojowych dla przedsiębiorców, pracowników i klientów indywidualnych, a innymi kosztami związanymi z funkcjonowaniem PSF (dotyczącymi utrzymania tego systemu, jak np. obsługa klientów przez operatorów, zapewnienie funkcjonowania strony internetowej, poniesienie kosztów na administrację obsługującą projekt, itp.). Różnice w kosztach mogą być pochodną modeli i innych rozwiązań dot. PSF, przyjętych w poszczególnych regionach (np. w jednym województwie bazuje się na systemie obsługi PSF wypracowanym w ramach pierwszych konkursów, podczas gdy w innym regionie kolejne edycje konkursów oznaczały konieczność przygotowania nowego lub głębokiej modyfikacji istniejącego systemu obsługi, itp.).  </w:t>
      </w:r>
    </w:p>
    <w:p w14:paraId="298AC216" w14:textId="77777777" w:rsidR="001F22AA" w:rsidRPr="003D2BF9" w:rsidRDefault="001F22AA">
      <w:pPr>
        <w:pStyle w:val="Tekstprzypisudolnego"/>
      </w:pPr>
    </w:p>
  </w:footnote>
  <w:footnote w:id="11">
    <w:p w14:paraId="4B44999D" w14:textId="77777777" w:rsidR="001F22AA" w:rsidRPr="003D2BF9" w:rsidRDefault="001F22AA" w:rsidP="003D2BF9">
      <w:pPr>
        <w:pStyle w:val="Tekstprzypisudolnego"/>
        <w:rPr>
          <w:rFonts w:cstheme="minorHAnsi"/>
        </w:rPr>
      </w:pPr>
      <w:r w:rsidRPr="003D2BF9">
        <w:rPr>
          <w:rStyle w:val="Odwoanieprzypisudolnego"/>
          <w:rFonts w:cstheme="minorHAnsi"/>
        </w:rPr>
        <w:footnoteRef/>
      </w:r>
      <w:r w:rsidRPr="003D2BF9">
        <w:rPr>
          <w:rFonts w:cstheme="minorHAnsi"/>
        </w:rPr>
        <w:t xml:space="preserve"> Aby móc oferować usługi za pośrednictwem BUR usługodawca musi spełniać określone kryteria, np. przedstawić odpowiedni certyfikat branżowy, jakości, itd., co powinno wpływać na sposób funkcjonowania firmy (działanie zgodne ze standardami wyznaczanymi reguły związane z pozyskaniem i utrzymaniem certyfikatu). Ponadto można założyć, że z jednej strony dla części firm chęć wpisania się do BUR była katalizatorem do rozpoczęcie ubiegania się o stosowne dokumenty (potwierdzające jakość), z drugiej zaś strony firmy, które wcześniej posiadały tego typu dokumenty po wpisaniu do Bazy poszerzyły ich listę, np. aby wyróżnić się na tle konkurencji lub, aby dopasować się do poziomu swoich konkurentów. </w:t>
      </w:r>
    </w:p>
  </w:footnote>
  <w:footnote w:id="12">
    <w:p w14:paraId="21C5EAC9" w14:textId="77777777" w:rsidR="001F22AA" w:rsidRPr="003D2BF9" w:rsidRDefault="001F22AA" w:rsidP="003D2BF9">
      <w:pPr>
        <w:pStyle w:val="Tekstprzypisudolnego"/>
        <w:rPr>
          <w:rFonts w:cstheme="minorHAnsi"/>
        </w:rPr>
      </w:pPr>
      <w:r w:rsidRPr="003D2BF9">
        <w:rPr>
          <w:rStyle w:val="Odwoanieprzypisudolnego"/>
          <w:rFonts w:cstheme="minorHAnsi"/>
        </w:rPr>
        <w:footnoteRef/>
      </w:r>
      <w:r w:rsidRPr="003D2BF9">
        <w:rPr>
          <w:rFonts w:cstheme="minorHAnsi"/>
        </w:rPr>
        <w:t xml:space="preserve"> Przykładowo usługodawca może poprzez BUR oferować te same usługi, które dotychczas alokował na rynku komercyjnym, może też poszerzyć portfolio poprzez przygotowanie usług specjalnie dedykowanych BUR, jak również nie można wykluczyć funkcjonowania przedsiębiorstw głównie lub wyłącznie skupionych na sprzedaży usług za pośrednictwem Bazy. Wykonawca powinien zwrócić też uwagę na ewentualne zachowania sprzedażowe (strategie) usługodawców w zależności od modelu dystrybucji środków. </w:t>
      </w:r>
    </w:p>
  </w:footnote>
  <w:footnote w:id="13">
    <w:p w14:paraId="40CCF730" w14:textId="77777777" w:rsidR="001F22AA" w:rsidRPr="003D2BF9" w:rsidRDefault="001F22AA" w:rsidP="003D2BF9">
      <w:pPr>
        <w:pStyle w:val="Tekstprzypisudolnego"/>
        <w:rPr>
          <w:rFonts w:cstheme="minorHAnsi"/>
        </w:rPr>
      </w:pPr>
      <w:r w:rsidRPr="003D2BF9">
        <w:rPr>
          <w:rStyle w:val="Odwoanieprzypisudolnego"/>
          <w:rFonts w:cstheme="minorHAnsi"/>
        </w:rPr>
        <w:footnoteRef/>
      </w:r>
      <w:r w:rsidRPr="003D2BF9">
        <w:rPr>
          <w:rFonts w:cstheme="minorHAnsi"/>
        </w:rPr>
        <w:t xml:space="preserve"> Co do zasady BUR powinna umożliwiać przygotowanie usług „szytych na miarę”, tj. dopasowanych do skonkretyzowanych potrzeb przedsiębiorców i pracowników. </w:t>
      </w:r>
    </w:p>
  </w:footnote>
  <w:footnote w:id="14">
    <w:p w14:paraId="1233C1EF" w14:textId="77777777" w:rsidR="001F22AA" w:rsidRPr="003D2BF9" w:rsidRDefault="001F22AA" w:rsidP="003D2BF9">
      <w:pPr>
        <w:pStyle w:val="Tekstprzypisudolnego"/>
        <w:rPr>
          <w:rFonts w:cstheme="minorHAnsi"/>
        </w:rPr>
      </w:pPr>
      <w:r w:rsidRPr="003D2BF9">
        <w:rPr>
          <w:rStyle w:val="Odwoanieprzypisudolnego"/>
          <w:rFonts w:cstheme="minorHAnsi"/>
        </w:rPr>
        <w:footnoteRef/>
      </w:r>
      <w:r w:rsidRPr="003D2BF9">
        <w:rPr>
          <w:rFonts w:cstheme="minorHAnsi"/>
        </w:rPr>
        <w:t xml:space="preserve"> Zgodnie z WLKW kwalifikacje należy rozumieć jako formalny wynik oceny i walidacji, który uzyskuje się w sytuacji, kiedy właściwy organ uznaje, że dana osoba osiągnęła efekty uczenia się spełniające określone standardy. Kompetencja to wyodrębniony zestaw efektów uczenia się / kształcenia. Opis kompetencji zawiera jasno określone warunki, które powinien spełniać uczestnik projektu ubiegający się o nabycie kompetencji, tj. wyczerpującą informację o efektach uczenia się dla danej kompetencji oraz kryteria i metody ich weryfikacji. Fakt nabycia kompetencji będzie weryfikowany w ramach następujących etapów: a) ETAP I – Zakres – zdefiniowanie w ramach wniosku o dofinansowanie grupy docelowej do objęcia wsparciem oraz wybranie obszaru interwencji EFS, który będzie poddany ocenie, b) ETAP II – Wzorzec – zdefiniowanie w Karcie Usługi standardu wymagań, tj. efektów uczenia się, które osiągną uczestnicy w wyniku przeprowadzonych działań projektowych, c) ETAP III – Ocena – przeprowadzenie weryfikacji na podstawie opracowanych kryteriów oceny po zakończeniu wsparcia udzielanego danej osobie w ramach Systemu Oceny Usług Rozwojowych, d) ETAP IV – Porównanie – porównanie uzyskanych wyników etapu III (ocena) z przyjętymi wymaganiami (określonymi na etapie II efektami uczenia się) po zakończeniu wsparcia udzielanego danej osobie. Do pomiaru wskaźnika należy wliczać jedynie te osoby, które dokonały oceny usługi (pytanie nr 1 w ramach Systemu Oceny Usług Rozwojowych) na poziomie 4 lub 5. </w:t>
      </w:r>
    </w:p>
  </w:footnote>
  <w:footnote w:id="15">
    <w:p w14:paraId="0C596111" w14:textId="1938B3CC" w:rsidR="001F22AA" w:rsidRPr="007A5039" w:rsidRDefault="001F22AA" w:rsidP="00FE708B">
      <w:pPr>
        <w:pStyle w:val="Tekstprzypisudolnego"/>
      </w:pPr>
      <w:r w:rsidRPr="007A5039">
        <w:rPr>
          <w:rStyle w:val="Odwoanieprzypisudolnego"/>
        </w:rPr>
        <w:footnoteRef/>
      </w:r>
      <w:r w:rsidRPr="007A5039">
        <w:t xml:space="preserve"> </w:t>
      </w:r>
      <w:r w:rsidRPr="007A5039">
        <w:rPr>
          <w:rFonts w:cstheme="minorHAnsi"/>
        </w:rPr>
        <w:t>Model – system założeń i zależności między nimi.</w:t>
      </w:r>
    </w:p>
  </w:footnote>
  <w:footnote w:id="16">
    <w:p w14:paraId="66A3AAF7" w14:textId="77777777" w:rsidR="001F22AA" w:rsidRPr="00FE708B" w:rsidRDefault="001F22AA" w:rsidP="007A5039">
      <w:pPr>
        <w:pStyle w:val="Tekstprzypisudolnego"/>
        <w:rPr>
          <w:rStyle w:val="Hipercze"/>
          <w:rFonts w:cstheme="minorHAnsi"/>
          <w:sz w:val="24"/>
          <w:szCs w:val="24"/>
        </w:rPr>
      </w:pPr>
      <w:r w:rsidRPr="00FE708B">
        <w:rPr>
          <w:rStyle w:val="Odwoanieprzypisudolnego"/>
          <w:rFonts w:cstheme="minorHAnsi"/>
          <w:sz w:val="24"/>
          <w:szCs w:val="24"/>
        </w:rPr>
        <w:footnoteRef/>
      </w:r>
      <w:r w:rsidRPr="00FE708B">
        <w:rPr>
          <w:rFonts w:cstheme="minorHAnsi"/>
          <w:sz w:val="24"/>
          <w:szCs w:val="24"/>
        </w:rPr>
        <w:t xml:space="preserve"> </w:t>
      </w:r>
      <w:hyperlink r:id="rId2" w:history="1">
        <w:r w:rsidRPr="00FE708B">
          <w:rPr>
            <w:rStyle w:val="Hipercze"/>
            <w:rFonts w:cstheme="minorHAnsi"/>
            <w:sz w:val="24"/>
            <w:szCs w:val="24"/>
          </w:rPr>
          <w:t>https://serwis-uslugirozwojowe.parp.gov.pl/files/Do_pobrania/Poradnik_dla_branzy_szkoleniowej/poradnik_dla_branzy_szkoleniowej_pdf.pdf</w:t>
        </w:r>
      </w:hyperlink>
      <w:r w:rsidRPr="00FE708B">
        <w:rPr>
          <w:rStyle w:val="Hipercze"/>
          <w:rFonts w:cstheme="minorHAnsi"/>
          <w:sz w:val="24"/>
          <w:szCs w:val="24"/>
        </w:rPr>
        <w:t xml:space="preserve"> </w:t>
      </w:r>
    </w:p>
    <w:p w14:paraId="2FE2A7F6" w14:textId="77777777" w:rsidR="001F22AA" w:rsidRPr="00FE708B" w:rsidRDefault="00A15C50" w:rsidP="007A5039">
      <w:pPr>
        <w:pStyle w:val="Tekstprzypisudolnego"/>
        <w:rPr>
          <w:rFonts w:cstheme="minorHAnsi"/>
          <w:sz w:val="24"/>
          <w:szCs w:val="24"/>
        </w:rPr>
      </w:pPr>
      <w:hyperlink r:id="rId3" w:history="1">
        <w:r w:rsidR="001F22AA" w:rsidRPr="00FE708B">
          <w:rPr>
            <w:rStyle w:val="Hipercze"/>
            <w:rFonts w:cstheme="minorHAnsi"/>
            <w:sz w:val="24"/>
            <w:szCs w:val="24"/>
          </w:rPr>
          <w:t>https://serwis-uslugirozwojowe.parp.gov.pl/files/Do_pobrania/poradnik%20dla%20przedsiebiorców/Poradnik_dla_przedsiebiorcow.pdf</w:t>
        </w:r>
      </w:hyperlink>
      <w:r w:rsidR="001F22AA" w:rsidRPr="00FE708B">
        <w:rPr>
          <w:rStyle w:val="Hipercze"/>
          <w:rFonts w:cstheme="minorHAnsi"/>
          <w:sz w:val="24"/>
          <w:szCs w:val="24"/>
        </w:rPr>
        <w:t xml:space="preserve"> </w:t>
      </w:r>
    </w:p>
    <w:p w14:paraId="2552673A" w14:textId="77777777" w:rsidR="001F22AA" w:rsidRPr="00FE708B" w:rsidRDefault="001F22AA" w:rsidP="00463225">
      <w:pPr>
        <w:pStyle w:val="Tekstprzypisudolnego"/>
        <w:spacing w:line="360" w:lineRule="auto"/>
        <w:rPr>
          <w:rFonts w:cstheme="minorHAnsi"/>
          <w:sz w:val="24"/>
          <w:szCs w:val="24"/>
        </w:rPr>
      </w:pPr>
    </w:p>
  </w:footnote>
  <w:footnote w:id="17">
    <w:p w14:paraId="654EF442" w14:textId="77777777" w:rsidR="001F22AA" w:rsidRPr="00FE708B" w:rsidRDefault="001F22AA">
      <w:pPr>
        <w:pStyle w:val="Tekstprzypisudolnego"/>
      </w:pPr>
      <w:r w:rsidRPr="00FE708B">
        <w:rPr>
          <w:rStyle w:val="Odwoanieprzypisudolnego"/>
        </w:rPr>
        <w:footnoteRef/>
      </w:r>
      <w:r w:rsidRPr="00FE708B">
        <w:t xml:space="preserve"> </w:t>
      </w:r>
      <w:r w:rsidRPr="00FE708B">
        <w:rPr>
          <w:sz w:val="24"/>
          <w:szCs w:val="24"/>
        </w:rPr>
        <w:t>W województwie śląskim jest to WUP w Katowicach.</w:t>
      </w:r>
    </w:p>
  </w:footnote>
  <w:footnote w:id="18">
    <w:p w14:paraId="20FD802A" w14:textId="77777777" w:rsidR="001F22AA" w:rsidRPr="00D74067" w:rsidRDefault="001F22AA" w:rsidP="00463225">
      <w:pPr>
        <w:pStyle w:val="Tekstprzypisudolnego"/>
        <w:spacing w:line="360" w:lineRule="auto"/>
        <w:rPr>
          <w:rFonts w:cstheme="minorHAnsi"/>
        </w:rPr>
      </w:pPr>
      <w:r w:rsidRPr="00D74067">
        <w:rPr>
          <w:rStyle w:val="Odwoanieprzypisudolnego"/>
          <w:rFonts w:cstheme="minorHAnsi"/>
        </w:rPr>
        <w:footnoteRef/>
      </w:r>
      <w:r w:rsidRPr="00D74067">
        <w:rPr>
          <w:rFonts w:cstheme="minorHAnsi"/>
        </w:rPr>
        <w:t xml:space="preserve"> Ten element jest obligatoryjny. </w:t>
      </w:r>
    </w:p>
  </w:footnote>
  <w:footnote w:id="19">
    <w:p w14:paraId="382A8C39" w14:textId="77777777" w:rsidR="001F22AA" w:rsidRPr="00D74067" w:rsidRDefault="001F22AA">
      <w:pPr>
        <w:pStyle w:val="Tekstprzypisudolnego"/>
      </w:pPr>
      <w:r w:rsidRPr="00D74067">
        <w:rPr>
          <w:rStyle w:val="Odwoanieprzypisudolnego"/>
        </w:rPr>
        <w:footnoteRef/>
      </w:r>
      <w:r w:rsidRPr="00D74067">
        <w:t xml:space="preserve"> Stan na 29.05.2019 r.</w:t>
      </w:r>
    </w:p>
  </w:footnote>
  <w:footnote w:id="20">
    <w:p w14:paraId="53522CB0" w14:textId="77777777" w:rsidR="001F22AA" w:rsidRPr="00D74067" w:rsidRDefault="001F22AA" w:rsidP="00D74067">
      <w:pPr>
        <w:pStyle w:val="Tekstprzypisudolnego"/>
        <w:rPr>
          <w:rFonts w:cstheme="minorHAnsi"/>
        </w:rPr>
      </w:pPr>
      <w:r w:rsidRPr="00D74067">
        <w:rPr>
          <w:rStyle w:val="Odwoanieprzypisudolnego"/>
          <w:rFonts w:cstheme="minorHAnsi"/>
        </w:rPr>
        <w:footnoteRef/>
      </w:r>
      <w:r w:rsidRPr="00D74067">
        <w:rPr>
          <w:rFonts w:cstheme="minorHAnsi"/>
        </w:rPr>
        <w:t xml:space="preserve"> Przekazanie danych w tym zakresie, wg wyboru Zamawiającego będzie polegało na udzieleniu Wykonawcy dostępu do systemu informatycznego lub przekazaniu Wykonawcy odpowiedniego zbioru danych. </w:t>
      </w:r>
    </w:p>
  </w:footnote>
  <w:footnote w:id="21">
    <w:p w14:paraId="12894ECE" w14:textId="77777777" w:rsidR="001F22AA" w:rsidRPr="00D74067" w:rsidRDefault="001F22AA" w:rsidP="00D74067">
      <w:pPr>
        <w:pStyle w:val="Tekstprzypisudolnego"/>
        <w:rPr>
          <w:rFonts w:cstheme="minorHAnsi"/>
        </w:rPr>
      </w:pPr>
      <w:r w:rsidRPr="00D74067">
        <w:rPr>
          <w:rStyle w:val="Odwoanieprzypisudolnego"/>
          <w:rFonts w:cstheme="minorHAnsi"/>
        </w:rPr>
        <w:footnoteRef/>
      </w:r>
      <w:r w:rsidRPr="00D74067">
        <w:rPr>
          <w:rFonts w:cstheme="minorHAnsi"/>
        </w:rPr>
        <w:t xml:space="preserve"> j.w. </w:t>
      </w:r>
    </w:p>
  </w:footnote>
  <w:footnote w:id="22">
    <w:p w14:paraId="38A0F9C5" w14:textId="77777777" w:rsidR="001F22AA" w:rsidRPr="00D74067" w:rsidRDefault="001F22AA">
      <w:pPr>
        <w:pStyle w:val="Tekstprzypisudolnego"/>
      </w:pPr>
      <w:r w:rsidRPr="00D74067">
        <w:rPr>
          <w:rStyle w:val="Odwoanieprzypisudolnego"/>
        </w:rPr>
        <w:footnoteRef/>
      </w:r>
      <w:r w:rsidRPr="00D74067">
        <w:t xml:space="preserve"> O ile będzie to możliwe Wykonawca powinien dążyć do prowadzenia wywiadów z przedstawicielami podmiotów, które mają doświadczenie z więcej niż jednym modelem PSF.</w:t>
      </w:r>
    </w:p>
  </w:footnote>
  <w:footnote w:id="23">
    <w:p w14:paraId="129AD89B" w14:textId="77777777" w:rsidR="001F22AA" w:rsidRPr="00D74067" w:rsidRDefault="001F22AA" w:rsidP="00D74067">
      <w:pPr>
        <w:pStyle w:val="Tekstprzypisudolnego"/>
        <w:rPr>
          <w:rFonts w:cstheme="minorHAnsi"/>
          <w:sz w:val="22"/>
          <w:szCs w:val="22"/>
        </w:rPr>
      </w:pPr>
      <w:r w:rsidRPr="00D74067">
        <w:rPr>
          <w:rStyle w:val="Odwoanieprzypisudolnego"/>
          <w:rFonts w:cstheme="minorHAnsi"/>
          <w:sz w:val="22"/>
          <w:szCs w:val="22"/>
        </w:rPr>
        <w:footnoteRef/>
      </w:r>
      <w:r w:rsidRPr="00D74067">
        <w:rPr>
          <w:rFonts w:cstheme="minorHAnsi"/>
          <w:sz w:val="22"/>
          <w:szCs w:val="22"/>
        </w:rPr>
        <w:t xml:space="preserve"> W rozdziale tym Wykonawca powinien zwrócić uwagę na bariery i korzyści wynikające z procedur i sposobów działania przyjętych przez poszczególnych Operatorów.</w:t>
      </w:r>
    </w:p>
  </w:footnote>
  <w:footnote w:id="24">
    <w:p w14:paraId="59746436" w14:textId="77777777" w:rsidR="001F22AA" w:rsidRPr="00D74067" w:rsidRDefault="001F22AA" w:rsidP="00D74067">
      <w:pPr>
        <w:pStyle w:val="Tekstprzypisudolnego"/>
        <w:jc w:val="both"/>
        <w:rPr>
          <w:rFonts w:cstheme="minorHAnsi"/>
        </w:rPr>
      </w:pPr>
      <w:r w:rsidRPr="00D74067">
        <w:rPr>
          <w:rStyle w:val="Odwoanieprzypisudolnego"/>
          <w:rFonts w:cstheme="minorHAnsi"/>
        </w:rPr>
        <w:footnoteRef/>
      </w:r>
      <w:r w:rsidRPr="00D74067">
        <w:rPr>
          <w:rFonts w:cstheme="minorHAnsi"/>
        </w:rPr>
        <w:t xml:space="preserve"> Ostateczna wersja raportu metodologicznego to wersja, którą Wykonawca przygotował po zakończeniu prac Etapu wstępnego, uzupełniona/zmodyfikowana o ewentualne zmiany, jakie zostały wprowadzone do metodologii badania podczas realizacji zamówienia, np. zmiana wielkości próby (zrealizowanej) w stosunku do wstępnych założeń, brak możliwości (np. ze względu na niską jakość) wykorzystania zmiennej lub zmiennych, które pierwotnie miały zostać użyte w analizach statystycznych, itp.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C53F8" w14:textId="10224620" w:rsidR="001F22AA" w:rsidRPr="0085402F" w:rsidRDefault="001F22AA" w:rsidP="0085402F">
    <w:pPr>
      <w:pStyle w:val="Nagwek"/>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1678"/>
    <w:multiLevelType w:val="hybridMultilevel"/>
    <w:tmpl w:val="EBA6EB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15151B"/>
    <w:multiLevelType w:val="hybridMultilevel"/>
    <w:tmpl w:val="D78CB0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FC53F8"/>
    <w:multiLevelType w:val="hybridMultilevel"/>
    <w:tmpl w:val="88AA7B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31418E"/>
    <w:multiLevelType w:val="hybridMultilevel"/>
    <w:tmpl w:val="9D58B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354342"/>
    <w:multiLevelType w:val="hybridMultilevel"/>
    <w:tmpl w:val="BE5AF3E6"/>
    <w:lvl w:ilvl="0" w:tplc="5D888EA2">
      <w:start w:val="1"/>
      <w:numFmt w:val="decimal"/>
      <w:lvlText w:val="%1."/>
      <w:lvlJc w:val="left"/>
      <w:pPr>
        <w:ind w:left="396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6977DA2"/>
    <w:multiLevelType w:val="hybridMultilevel"/>
    <w:tmpl w:val="2AA457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0E2EC8"/>
    <w:multiLevelType w:val="hybridMultilevel"/>
    <w:tmpl w:val="2466CD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181459"/>
    <w:multiLevelType w:val="hybridMultilevel"/>
    <w:tmpl w:val="1562B1D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3D2042E4"/>
    <w:multiLevelType w:val="hybridMultilevel"/>
    <w:tmpl w:val="A6A0C584"/>
    <w:lvl w:ilvl="0" w:tplc="08090015">
      <w:start w:val="1"/>
      <w:numFmt w:val="upperLetter"/>
      <w:lvlText w:val="%1."/>
      <w:lvlJc w:val="left"/>
      <w:pPr>
        <w:ind w:left="720" w:hanging="360"/>
      </w:pPr>
      <w:rPr>
        <w:rFonts w:hint="default"/>
      </w:rPr>
    </w:lvl>
    <w:lvl w:ilvl="1" w:tplc="0C0432CE">
      <w:start w:val="1"/>
      <w:numFmt w:val="lowerLetter"/>
      <w:lvlText w:val="%2)"/>
      <w:lvlJc w:val="left"/>
      <w:pPr>
        <w:ind w:left="1785" w:hanging="70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6F04CD"/>
    <w:multiLevelType w:val="hybridMultilevel"/>
    <w:tmpl w:val="AEA0BC8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C4499B"/>
    <w:multiLevelType w:val="hybridMultilevel"/>
    <w:tmpl w:val="4746DD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DE2505"/>
    <w:multiLevelType w:val="hybridMultilevel"/>
    <w:tmpl w:val="BE5AF3E6"/>
    <w:lvl w:ilvl="0" w:tplc="5D888EA2">
      <w:start w:val="1"/>
      <w:numFmt w:val="decimal"/>
      <w:lvlText w:val="%1."/>
      <w:lvlJc w:val="left"/>
      <w:pPr>
        <w:ind w:left="396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426B404D"/>
    <w:multiLevelType w:val="hybridMultilevel"/>
    <w:tmpl w:val="1ABAD938"/>
    <w:lvl w:ilvl="0" w:tplc="CF0488E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ED7D1B"/>
    <w:multiLevelType w:val="hybridMultilevel"/>
    <w:tmpl w:val="93746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92D79E0"/>
    <w:multiLevelType w:val="hybridMultilevel"/>
    <w:tmpl w:val="BC325EC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75292B"/>
    <w:multiLevelType w:val="hybridMultilevel"/>
    <w:tmpl w:val="88AA7B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AF5B64"/>
    <w:multiLevelType w:val="hybridMultilevel"/>
    <w:tmpl w:val="30404D1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4F2918D4"/>
    <w:multiLevelType w:val="hybridMultilevel"/>
    <w:tmpl w:val="6088C44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5B1D2CB3"/>
    <w:multiLevelType w:val="hybridMultilevel"/>
    <w:tmpl w:val="EA5EB3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5C1B3F74"/>
    <w:multiLevelType w:val="hybridMultilevel"/>
    <w:tmpl w:val="949C9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B2451F"/>
    <w:multiLevelType w:val="hybridMultilevel"/>
    <w:tmpl w:val="D78CB0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A310F4"/>
    <w:multiLevelType w:val="hybridMultilevel"/>
    <w:tmpl w:val="8F16BB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317ECB"/>
    <w:multiLevelType w:val="hybridMultilevel"/>
    <w:tmpl w:val="B8E0DC3A"/>
    <w:lvl w:ilvl="0" w:tplc="08090015">
      <w:start w:val="1"/>
      <w:numFmt w:val="upperLetter"/>
      <w:lvlText w:val="%1."/>
      <w:lvlJc w:val="left"/>
      <w:pPr>
        <w:ind w:left="720" w:hanging="360"/>
      </w:pPr>
    </w:lvl>
    <w:lvl w:ilvl="1" w:tplc="350A48F2">
      <w:start w:val="1"/>
      <w:numFmt w:val="decimal"/>
      <w:lvlText w:val="%2."/>
      <w:lvlJc w:val="left"/>
      <w:pPr>
        <w:ind w:left="1785" w:hanging="70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1B50D3"/>
    <w:multiLevelType w:val="hybridMultilevel"/>
    <w:tmpl w:val="2EE44EAC"/>
    <w:lvl w:ilvl="0" w:tplc="655012B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026874"/>
    <w:multiLevelType w:val="hybridMultilevel"/>
    <w:tmpl w:val="8C88A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549B6"/>
    <w:multiLevelType w:val="multilevel"/>
    <w:tmpl w:val="E72038EE"/>
    <w:lvl w:ilvl="0">
      <w:start w:val="1"/>
      <w:numFmt w:val="decimal"/>
      <w:pStyle w:val="N1"/>
      <w:lvlText w:val="%1."/>
      <w:lvlJc w:val="left"/>
      <w:pPr>
        <w:ind w:left="360" w:hanging="360"/>
      </w:pPr>
    </w:lvl>
    <w:lvl w:ilvl="1">
      <w:start w:val="1"/>
      <w:numFmt w:val="decimal"/>
      <w:pStyle w:val="Styl1"/>
      <w:lvlText w:val="%1.%2."/>
      <w:lvlJc w:val="left"/>
      <w:pPr>
        <w:ind w:left="792" w:hanging="432"/>
      </w:pPr>
    </w:lvl>
    <w:lvl w:ilvl="2">
      <w:start w:val="1"/>
      <w:numFmt w:val="decimal"/>
      <w:pStyle w:val="N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6"/>
  </w:num>
  <w:num w:numId="3">
    <w:abstractNumId w:val="7"/>
  </w:num>
  <w:num w:numId="4">
    <w:abstractNumId w:val="1"/>
  </w:num>
  <w:num w:numId="5">
    <w:abstractNumId w:val="9"/>
  </w:num>
  <w:num w:numId="6">
    <w:abstractNumId w:val="8"/>
  </w:num>
  <w:num w:numId="7">
    <w:abstractNumId w:val="15"/>
  </w:num>
  <w:num w:numId="8">
    <w:abstractNumId w:val="21"/>
  </w:num>
  <w:num w:numId="9">
    <w:abstractNumId w:val="24"/>
  </w:num>
  <w:num w:numId="10">
    <w:abstractNumId w:val="3"/>
  </w:num>
  <w:num w:numId="11">
    <w:abstractNumId w:val="10"/>
  </w:num>
  <w:num w:numId="12">
    <w:abstractNumId w:val="22"/>
  </w:num>
  <w:num w:numId="13">
    <w:abstractNumId w:val="17"/>
  </w:num>
  <w:num w:numId="14">
    <w:abstractNumId w:val="23"/>
  </w:num>
  <w:num w:numId="15">
    <w:abstractNumId w:val="0"/>
  </w:num>
  <w:num w:numId="16">
    <w:abstractNumId w:val="13"/>
  </w:num>
  <w:num w:numId="17">
    <w:abstractNumId w:val="19"/>
  </w:num>
  <w:num w:numId="18">
    <w:abstractNumId w:val="2"/>
  </w:num>
  <w:num w:numId="19">
    <w:abstractNumId w:val="11"/>
  </w:num>
  <w:num w:numId="20">
    <w:abstractNumId w:val="4"/>
  </w:num>
  <w:num w:numId="21">
    <w:abstractNumId w:val="1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5"/>
  </w:num>
  <w:num w:numId="25">
    <w:abstractNumId w:val="12"/>
  </w:num>
  <w:num w:numId="2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39"/>
    <w:rsid w:val="0000422F"/>
    <w:rsid w:val="00005B75"/>
    <w:rsid w:val="00005C8C"/>
    <w:rsid w:val="000068C0"/>
    <w:rsid w:val="000101A1"/>
    <w:rsid w:val="00025FE7"/>
    <w:rsid w:val="00035B7F"/>
    <w:rsid w:val="00036E15"/>
    <w:rsid w:val="000555CB"/>
    <w:rsid w:val="000573E0"/>
    <w:rsid w:val="00063EBC"/>
    <w:rsid w:val="00063ED4"/>
    <w:rsid w:val="000646F2"/>
    <w:rsid w:val="0007079C"/>
    <w:rsid w:val="00071083"/>
    <w:rsid w:val="00080E89"/>
    <w:rsid w:val="00080ED7"/>
    <w:rsid w:val="000834AC"/>
    <w:rsid w:val="00083B12"/>
    <w:rsid w:val="000902D1"/>
    <w:rsid w:val="00097DA6"/>
    <w:rsid w:val="000A46DC"/>
    <w:rsid w:val="000A7DA0"/>
    <w:rsid w:val="000B20B9"/>
    <w:rsid w:val="000B2B55"/>
    <w:rsid w:val="000C1862"/>
    <w:rsid w:val="000C71CA"/>
    <w:rsid w:val="000C799F"/>
    <w:rsid w:val="000D2895"/>
    <w:rsid w:val="000D63CD"/>
    <w:rsid w:val="000E1E6A"/>
    <w:rsid w:val="000E1F76"/>
    <w:rsid w:val="000E2EC0"/>
    <w:rsid w:val="000E7D27"/>
    <w:rsid w:val="000F6AB1"/>
    <w:rsid w:val="00100CA8"/>
    <w:rsid w:val="001074C8"/>
    <w:rsid w:val="001106F9"/>
    <w:rsid w:val="00115DEC"/>
    <w:rsid w:val="00122EEE"/>
    <w:rsid w:val="00136B31"/>
    <w:rsid w:val="00163E4D"/>
    <w:rsid w:val="00165867"/>
    <w:rsid w:val="00165985"/>
    <w:rsid w:val="001706F4"/>
    <w:rsid w:val="0018102E"/>
    <w:rsid w:val="00193FF0"/>
    <w:rsid w:val="001A7D38"/>
    <w:rsid w:val="001B03C1"/>
    <w:rsid w:val="001B15A6"/>
    <w:rsid w:val="001B56C4"/>
    <w:rsid w:val="001C2D07"/>
    <w:rsid w:val="001D1ED3"/>
    <w:rsid w:val="001D69CA"/>
    <w:rsid w:val="001D7E1E"/>
    <w:rsid w:val="001E424F"/>
    <w:rsid w:val="001F01C8"/>
    <w:rsid w:val="001F22AA"/>
    <w:rsid w:val="001F596C"/>
    <w:rsid w:val="0021080F"/>
    <w:rsid w:val="00211335"/>
    <w:rsid w:val="0022167A"/>
    <w:rsid w:val="002269B1"/>
    <w:rsid w:val="00227B78"/>
    <w:rsid w:val="00233F41"/>
    <w:rsid w:val="00237417"/>
    <w:rsid w:val="00242D67"/>
    <w:rsid w:val="00253946"/>
    <w:rsid w:val="0026601C"/>
    <w:rsid w:val="0026651C"/>
    <w:rsid w:val="0026725D"/>
    <w:rsid w:val="0027066B"/>
    <w:rsid w:val="00272328"/>
    <w:rsid w:val="00272992"/>
    <w:rsid w:val="002755F7"/>
    <w:rsid w:val="002763C8"/>
    <w:rsid w:val="002851FC"/>
    <w:rsid w:val="00292B7B"/>
    <w:rsid w:val="0029393F"/>
    <w:rsid w:val="002953F6"/>
    <w:rsid w:val="002A781A"/>
    <w:rsid w:val="002B37CD"/>
    <w:rsid w:val="002B61BD"/>
    <w:rsid w:val="002C0F70"/>
    <w:rsid w:val="002C5D11"/>
    <w:rsid w:val="002C6483"/>
    <w:rsid w:val="002D0D56"/>
    <w:rsid w:val="002D2821"/>
    <w:rsid w:val="002D5B78"/>
    <w:rsid w:val="002F026A"/>
    <w:rsid w:val="00304122"/>
    <w:rsid w:val="00323D3B"/>
    <w:rsid w:val="00323DCD"/>
    <w:rsid w:val="003319F1"/>
    <w:rsid w:val="00331A54"/>
    <w:rsid w:val="00344B12"/>
    <w:rsid w:val="0035140E"/>
    <w:rsid w:val="0036036B"/>
    <w:rsid w:val="00367FB7"/>
    <w:rsid w:val="00376F66"/>
    <w:rsid w:val="00380CEE"/>
    <w:rsid w:val="00382233"/>
    <w:rsid w:val="003872E7"/>
    <w:rsid w:val="003903BB"/>
    <w:rsid w:val="00391401"/>
    <w:rsid w:val="00393619"/>
    <w:rsid w:val="00394265"/>
    <w:rsid w:val="00397E9F"/>
    <w:rsid w:val="003B0D18"/>
    <w:rsid w:val="003B4282"/>
    <w:rsid w:val="003B7D6D"/>
    <w:rsid w:val="003C1AED"/>
    <w:rsid w:val="003C1DE4"/>
    <w:rsid w:val="003C4891"/>
    <w:rsid w:val="003C6CCA"/>
    <w:rsid w:val="003C7F0E"/>
    <w:rsid w:val="003D1585"/>
    <w:rsid w:val="003D2BF9"/>
    <w:rsid w:val="003D6100"/>
    <w:rsid w:val="003D6C6B"/>
    <w:rsid w:val="003D76A2"/>
    <w:rsid w:val="003E5C3B"/>
    <w:rsid w:val="003F02CE"/>
    <w:rsid w:val="003F2F19"/>
    <w:rsid w:val="00400E7F"/>
    <w:rsid w:val="00401994"/>
    <w:rsid w:val="004033D6"/>
    <w:rsid w:val="00412F2E"/>
    <w:rsid w:val="004223E0"/>
    <w:rsid w:val="00433DD1"/>
    <w:rsid w:val="00446925"/>
    <w:rsid w:val="004512B5"/>
    <w:rsid w:val="00455775"/>
    <w:rsid w:val="00455BDC"/>
    <w:rsid w:val="0045671F"/>
    <w:rsid w:val="00457D41"/>
    <w:rsid w:val="00461347"/>
    <w:rsid w:val="00463225"/>
    <w:rsid w:val="00466D4B"/>
    <w:rsid w:val="004672AC"/>
    <w:rsid w:val="00467B3D"/>
    <w:rsid w:val="00470C93"/>
    <w:rsid w:val="0047275D"/>
    <w:rsid w:val="00474872"/>
    <w:rsid w:val="00483E0F"/>
    <w:rsid w:val="00484F6F"/>
    <w:rsid w:val="00494CC5"/>
    <w:rsid w:val="004A5833"/>
    <w:rsid w:val="004A5DDC"/>
    <w:rsid w:val="004A7F92"/>
    <w:rsid w:val="004B2974"/>
    <w:rsid w:val="004B7ABA"/>
    <w:rsid w:val="004C2C8F"/>
    <w:rsid w:val="004C39C3"/>
    <w:rsid w:val="004C5518"/>
    <w:rsid w:val="004D2E91"/>
    <w:rsid w:val="004E1F05"/>
    <w:rsid w:val="004F13F7"/>
    <w:rsid w:val="004F2843"/>
    <w:rsid w:val="004F4774"/>
    <w:rsid w:val="004F4D97"/>
    <w:rsid w:val="004F6676"/>
    <w:rsid w:val="005022C5"/>
    <w:rsid w:val="0050629A"/>
    <w:rsid w:val="0050732D"/>
    <w:rsid w:val="005120B9"/>
    <w:rsid w:val="00514D2D"/>
    <w:rsid w:val="00515003"/>
    <w:rsid w:val="005163C2"/>
    <w:rsid w:val="00517361"/>
    <w:rsid w:val="00527DB5"/>
    <w:rsid w:val="00533EB3"/>
    <w:rsid w:val="005434C8"/>
    <w:rsid w:val="0055304B"/>
    <w:rsid w:val="005545F1"/>
    <w:rsid w:val="00562165"/>
    <w:rsid w:val="005769A6"/>
    <w:rsid w:val="00580369"/>
    <w:rsid w:val="00580BFE"/>
    <w:rsid w:val="00580FFD"/>
    <w:rsid w:val="00583CB3"/>
    <w:rsid w:val="005872DF"/>
    <w:rsid w:val="005878B9"/>
    <w:rsid w:val="00593357"/>
    <w:rsid w:val="005A0130"/>
    <w:rsid w:val="005A11B6"/>
    <w:rsid w:val="005A392A"/>
    <w:rsid w:val="005A4BAB"/>
    <w:rsid w:val="005B0154"/>
    <w:rsid w:val="005B09E2"/>
    <w:rsid w:val="005B1985"/>
    <w:rsid w:val="005B5DBC"/>
    <w:rsid w:val="005B63EC"/>
    <w:rsid w:val="005D4065"/>
    <w:rsid w:val="005D4DA7"/>
    <w:rsid w:val="005D5838"/>
    <w:rsid w:val="005D6934"/>
    <w:rsid w:val="005D7EF0"/>
    <w:rsid w:val="005E5C90"/>
    <w:rsid w:val="005F17C1"/>
    <w:rsid w:val="005F49BE"/>
    <w:rsid w:val="005F5E0C"/>
    <w:rsid w:val="00604F86"/>
    <w:rsid w:val="006103A8"/>
    <w:rsid w:val="006106B7"/>
    <w:rsid w:val="0061470F"/>
    <w:rsid w:val="006204C3"/>
    <w:rsid w:val="00620604"/>
    <w:rsid w:val="00622D03"/>
    <w:rsid w:val="00623EFC"/>
    <w:rsid w:val="006241D6"/>
    <w:rsid w:val="00625AAF"/>
    <w:rsid w:val="00627543"/>
    <w:rsid w:val="00631806"/>
    <w:rsid w:val="00642A66"/>
    <w:rsid w:val="00643EB4"/>
    <w:rsid w:val="006506F0"/>
    <w:rsid w:val="00651135"/>
    <w:rsid w:val="0065218E"/>
    <w:rsid w:val="00653A04"/>
    <w:rsid w:val="0065506C"/>
    <w:rsid w:val="00656997"/>
    <w:rsid w:val="00663885"/>
    <w:rsid w:val="00665DDB"/>
    <w:rsid w:val="00665E94"/>
    <w:rsid w:val="00667696"/>
    <w:rsid w:val="00671DF5"/>
    <w:rsid w:val="00675C6F"/>
    <w:rsid w:val="00676C45"/>
    <w:rsid w:val="006830B3"/>
    <w:rsid w:val="00686518"/>
    <w:rsid w:val="006900A3"/>
    <w:rsid w:val="006B059C"/>
    <w:rsid w:val="006B0D48"/>
    <w:rsid w:val="006B4432"/>
    <w:rsid w:val="006C38C1"/>
    <w:rsid w:val="006C4006"/>
    <w:rsid w:val="006C7158"/>
    <w:rsid w:val="006D1643"/>
    <w:rsid w:val="006E18A0"/>
    <w:rsid w:val="006E2DB8"/>
    <w:rsid w:val="006E3CEB"/>
    <w:rsid w:val="006E559B"/>
    <w:rsid w:val="006F35F2"/>
    <w:rsid w:val="007001DF"/>
    <w:rsid w:val="00704ED3"/>
    <w:rsid w:val="00714DC5"/>
    <w:rsid w:val="007164F3"/>
    <w:rsid w:val="0072130A"/>
    <w:rsid w:val="007234AC"/>
    <w:rsid w:val="00727320"/>
    <w:rsid w:val="0073073F"/>
    <w:rsid w:val="0073425C"/>
    <w:rsid w:val="00736237"/>
    <w:rsid w:val="007363C0"/>
    <w:rsid w:val="00741D58"/>
    <w:rsid w:val="00744316"/>
    <w:rsid w:val="00763216"/>
    <w:rsid w:val="00765EB6"/>
    <w:rsid w:val="00767074"/>
    <w:rsid w:val="0077012C"/>
    <w:rsid w:val="00784795"/>
    <w:rsid w:val="00787F03"/>
    <w:rsid w:val="007906A0"/>
    <w:rsid w:val="0079220A"/>
    <w:rsid w:val="00792554"/>
    <w:rsid w:val="00793397"/>
    <w:rsid w:val="007A5039"/>
    <w:rsid w:val="007A5A2C"/>
    <w:rsid w:val="007A6D5D"/>
    <w:rsid w:val="007A7D2E"/>
    <w:rsid w:val="007B6BAF"/>
    <w:rsid w:val="007D4D96"/>
    <w:rsid w:val="007E2C58"/>
    <w:rsid w:val="007E4125"/>
    <w:rsid w:val="007E44F5"/>
    <w:rsid w:val="00801539"/>
    <w:rsid w:val="0080182E"/>
    <w:rsid w:val="00807A06"/>
    <w:rsid w:val="0081008D"/>
    <w:rsid w:val="0081787D"/>
    <w:rsid w:val="00820EB9"/>
    <w:rsid w:val="00825313"/>
    <w:rsid w:val="00830EF7"/>
    <w:rsid w:val="00834910"/>
    <w:rsid w:val="0083673D"/>
    <w:rsid w:val="008419CF"/>
    <w:rsid w:val="00844C13"/>
    <w:rsid w:val="008466C3"/>
    <w:rsid w:val="00847ED0"/>
    <w:rsid w:val="00852F41"/>
    <w:rsid w:val="0085402F"/>
    <w:rsid w:val="00855E35"/>
    <w:rsid w:val="0085745D"/>
    <w:rsid w:val="00863A48"/>
    <w:rsid w:val="0087762C"/>
    <w:rsid w:val="00891993"/>
    <w:rsid w:val="008A5E44"/>
    <w:rsid w:val="008B07A3"/>
    <w:rsid w:val="008B2B6C"/>
    <w:rsid w:val="008B513B"/>
    <w:rsid w:val="008B6028"/>
    <w:rsid w:val="008B65B5"/>
    <w:rsid w:val="008B75F4"/>
    <w:rsid w:val="008B7737"/>
    <w:rsid w:val="008C27CF"/>
    <w:rsid w:val="008C4DA6"/>
    <w:rsid w:val="008D09D2"/>
    <w:rsid w:val="008D4988"/>
    <w:rsid w:val="008E1051"/>
    <w:rsid w:val="008E20C4"/>
    <w:rsid w:val="00911272"/>
    <w:rsid w:val="0092170E"/>
    <w:rsid w:val="0093125E"/>
    <w:rsid w:val="009328E3"/>
    <w:rsid w:val="0093559A"/>
    <w:rsid w:val="00951ACA"/>
    <w:rsid w:val="0095347E"/>
    <w:rsid w:val="00955C6C"/>
    <w:rsid w:val="0096080B"/>
    <w:rsid w:val="00971D4D"/>
    <w:rsid w:val="00976A58"/>
    <w:rsid w:val="00980577"/>
    <w:rsid w:val="00985111"/>
    <w:rsid w:val="00987C5B"/>
    <w:rsid w:val="009933B6"/>
    <w:rsid w:val="009947BE"/>
    <w:rsid w:val="00997AA0"/>
    <w:rsid w:val="009A335D"/>
    <w:rsid w:val="009B0901"/>
    <w:rsid w:val="009B4369"/>
    <w:rsid w:val="009B5A7F"/>
    <w:rsid w:val="009B5A9F"/>
    <w:rsid w:val="009C1382"/>
    <w:rsid w:val="009C3B2A"/>
    <w:rsid w:val="009C4BA1"/>
    <w:rsid w:val="009D6D7D"/>
    <w:rsid w:val="009E0977"/>
    <w:rsid w:val="009E3481"/>
    <w:rsid w:val="009E6CFD"/>
    <w:rsid w:val="009F5C6C"/>
    <w:rsid w:val="00A04CD2"/>
    <w:rsid w:val="00A11E76"/>
    <w:rsid w:val="00A15C50"/>
    <w:rsid w:val="00A15EEA"/>
    <w:rsid w:val="00A20A8A"/>
    <w:rsid w:val="00A2137A"/>
    <w:rsid w:val="00A23087"/>
    <w:rsid w:val="00A23DD7"/>
    <w:rsid w:val="00A31DC0"/>
    <w:rsid w:val="00A43726"/>
    <w:rsid w:val="00A438CE"/>
    <w:rsid w:val="00A56D07"/>
    <w:rsid w:val="00A67DA2"/>
    <w:rsid w:val="00A75C02"/>
    <w:rsid w:val="00A843E4"/>
    <w:rsid w:val="00A90819"/>
    <w:rsid w:val="00A93DA6"/>
    <w:rsid w:val="00A96365"/>
    <w:rsid w:val="00A96A04"/>
    <w:rsid w:val="00A9762C"/>
    <w:rsid w:val="00AA45FA"/>
    <w:rsid w:val="00AA4FA9"/>
    <w:rsid w:val="00AB365F"/>
    <w:rsid w:val="00AB4048"/>
    <w:rsid w:val="00AB54A0"/>
    <w:rsid w:val="00AC0C5A"/>
    <w:rsid w:val="00AC62CF"/>
    <w:rsid w:val="00AC6E95"/>
    <w:rsid w:val="00AD02D6"/>
    <w:rsid w:val="00AD40B6"/>
    <w:rsid w:val="00AD7B1D"/>
    <w:rsid w:val="00AE2DD1"/>
    <w:rsid w:val="00AE3180"/>
    <w:rsid w:val="00B0074B"/>
    <w:rsid w:val="00B00CF8"/>
    <w:rsid w:val="00B00DB5"/>
    <w:rsid w:val="00B040B6"/>
    <w:rsid w:val="00B21739"/>
    <w:rsid w:val="00B21C33"/>
    <w:rsid w:val="00B22591"/>
    <w:rsid w:val="00B26BBF"/>
    <w:rsid w:val="00B33823"/>
    <w:rsid w:val="00B41011"/>
    <w:rsid w:val="00B410D7"/>
    <w:rsid w:val="00B4143B"/>
    <w:rsid w:val="00B445E3"/>
    <w:rsid w:val="00B505F5"/>
    <w:rsid w:val="00B530EE"/>
    <w:rsid w:val="00B6226E"/>
    <w:rsid w:val="00B62D4E"/>
    <w:rsid w:val="00B6312A"/>
    <w:rsid w:val="00B66B24"/>
    <w:rsid w:val="00B6734F"/>
    <w:rsid w:val="00B75C6E"/>
    <w:rsid w:val="00B760CF"/>
    <w:rsid w:val="00BA65B1"/>
    <w:rsid w:val="00BB412E"/>
    <w:rsid w:val="00BC23A6"/>
    <w:rsid w:val="00BC2569"/>
    <w:rsid w:val="00BC43B1"/>
    <w:rsid w:val="00BC7EDC"/>
    <w:rsid w:val="00BD640C"/>
    <w:rsid w:val="00BE1538"/>
    <w:rsid w:val="00BE2356"/>
    <w:rsid w:val="00BF1624"/>
    <w:rsid w:val="00C021D1"/>
    <w:rsid w:val="00C06A5B"/>
    <w:rsid w:val="00C07BDA"/>
    <w:rsid w:val="00C12EDE"/>
    <w:rsid w:val="00C16381"/>
    <w:rsid w:val="00C16523"/>
    <w:rsid w:val="00C376C4"/>
    <w:rsid w:val="00C52538"/>
    <w:rsid w:val="00C5297E"/>
    <w:rsid w:val="00C606E8"/>
    <w:rsid w:val="00C64FDD"/>
    <w:rsid w:val="00C71133"/>
    <w:rsid w:val="00C71EB0"/>
    <w:rsid w:val="00C729BA"/>
    <w:rsid w:val="00C7320B"/>
    <w:rsid w:val="00C75315"/>
    <w:rsid w:val="00C77EDD"/>
    <w:rsid w:val="00C8325C"/>
    <w:rsid w:val="00C836FB"/>
    <w:rsid w:val="00C94FC0"/>
    <w:rsid w:val="00CA6C65"/>
    <w:rsid w:val="00CB5EF2"/>
    <w:rsid w:val="00CC766C"/>
    <w:rsid w:val="00CD7B76"/>
    <w:rsid w:val="00CE0632"/>
    <w:rsid w:val="00CF45F4"/>
    <w:rsid w:val="00CF4AED"/>
    <w:rsid w:val="00D07086"/>
    <w:rsid w:val="00D25126"/>
    <w:rsid w:val="00D255FA"/>
    <w:rsid w:val="00D4426C"/>
    <w:rsid w:val="00D4698E"/>
    <w:rsid w:val="00D479C2"/>
    <w:rsid w:val="00D53258"/>
    <w:rsid w:val="00D7175A"/>
    <w:rsid w:val="00D72077"/>
    <w:rsid w:val="00D74067"/>
    <w:rsid w:val="00D74D0A"/>
    <w:rsid w:val="00D761AC"/>
    <w:rsid w:val="00D765D6"/>
    <w:rsid w:val="00D9510C"/>
    <w:rsid w:val="00D9688E"/>
    <w:rsid w:val="00D97BD0"/>
    <w:rsid w:val="00DA3695"/>
    <w:rsid w:val="00DA4109"/>
    <w:rsid w:val="00DA4BD2"/>
    <w:rsid w:val="00DB5BCA"/>
    <w:rsid w:val="00DC026D"/>
    <w:rsid w:val="00DD26E2"/>
    <w:rsid w:val="00DD630D"/>
    <w:rsid w:val="00E05E4C"/>
    <w:rsid w:val="00E07A3C"/>
    <w:rsid w:val="00E1557F"/>
    <w:rsid w:val="00E23CEB"/>
    <w:rsid w:val="00E30EBA"/>
    <w:rsid w:val="00E56760"/>
    <w:rsid w:val="00E63688"/>
    <w:rsid w:val="00E64C91"/>
    <w:rsid w:val="00E66893"/>
    <w:rsid w:val="00E679D5"/>
    <w:rsid w:val="00E7140D"/>
    <w:rsid w:val="00E749C1"/>
    <w:rsid w:val="00E77142"/>
    <w:rsid w:val="00E77367"/>
    <w:rsid w:val="00E843A8"/>
    <w:rsid w:val="00E9489F"/>
    <w:rsid w:val="00E95E5B"/>
    <w:rsid w:val="00E97F99"/>
    <w:rsid w:val="00EA481D"/>
    <w:rsid w:val="00EB0F97"/>
    <w:rsid w:val="00EC02FF"/>
    <w:rsid w:val="00EC06E0"/>
    <w:rsid w:val="00EC5A11"/>
    <w:rsid w:val="00EC7F54"/>
    <w:rsid w:val="00ED0181"/>
    <w:rsid w:val="00ED1217"/>
    <w:rsid w:val="00ED393F"/>
    <w:rsid w:val="00ED5A23"/>
    <w:rsid w:val="00ED6D49"/>
    <w:rsid w:val="00ED6EF2"/>
    <w:rsid w:val="00EE2B26"/>
    <w:rsid w:val="00EE5169"/>
    <w:rsid w:val="00EF3FFD"/>
    <w:rsid w:val="00EF6681"/>
    <w:rsid w:val="00F01E7B"/>
    <w:rsid w:val="00F1176A"/>
    <w:rsid w:val="00F13B87"/>
    <w:rsid w:val="00F23043"/>
    <w:rsid w:val="00F24C20"/>
    <w:rsid w:val="00F25E76"/>
    <w:rsid w:val="00F2662C"/>
    <w:rsid w:val="00F270DB"/>
    <w:rsid w:val="00F278B8"/>
    <w:rsid w:val="00F27EA9"/>
    <w:rsid w:val="00F30CDF"/>
    <w:rsid w:val="00F33CDE"/>
    <w:rsid w:val="00F561E2"/>
    <w:rsid w:val="00F63448"/>
    <w:rsid w:val="00F670FC"/>
    <w:rsid w:val="00F71770"/>
    <w:rsid w:val="00F84DC9"/>
    <w:rsid w:val="00F915C6"/>
    <w:rsid w:val="00F96951"/>
    <w:rsid w:val="00FA3604"/>
    <w:rsid w:val="00FA451B"/>
    <w:rsid w:val="00FB06CF"/>
    <w:rsid w:val="00FC1BA6"/>
    <w:rsid w:val="00FC1CB0"/>
    <w:rsid w:val="00FC421F"/>
    <w:rsid w:val="00FE189B"/>
    <w:rsid w:val="00FE2411"/>
    <w:rsid w:val="00FE3849"/>
    <w:rsid w:val="00FE708B"/>
    <w:rsid w:val="00FF0DF3"/>
    <w:rsid w:val="00FF5F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84B057"/>
  <w15:chartTrackingRefBased/>
  <w15:docId w15:val="{BCDAC42C-0570-4B1A-863E-FF680B2A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1539"/>
    <w:pPr>
      <w:spacing w:after="0" w:line="240" w:lineRule="auto"/>
    </w:pPr>
  </w:style>
  <w:style w:type="paragraph" w:styleId="Nagwek1">
    <w:name w:val="heading 1"/>
    <w:basedOn w:val="Normalny"/>
    <w:next w:val="Normalny"/>
    <w:link w:val="Nagwek1Znak"/>
    <w:uiPriority w:val="9"/>
    <w:qFormat/>
    <w:rsid w:val="00D9510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D9510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1B56C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01539"/>
    <w:rPr>
      <w:color w:val="0563C1" w:themeColor="hyperlink"/>
      <w:u w:val="single"/>
    </w:rPr>
  </w:style>
  <w:style w:type="paragraph" w:styleId="NormalnyWeb">
    <w:name w:val="Normal (Web)"/>
    <w:basedOn w:val="Normalny"/>
    <w:link w:val="NormalnyWebZnak"/>
    <w:uiPriority w:val="99"/>
    <w:unhideWhenUsed/>
    <w:rsid w:val="00801539"/>
    <w:pPr>
      <w:spacing w:after="135"/>
    </w:pPr>
    <w:rPr>
      <w:rFonts w:ascii="Times New Roman" w:eastAsia="Times New Roman" w:hAnsi="Times New Roman" w:cs="Times New Roman"/>
      <w:sz w:val="24"/>
      <w:szCs w:val="24"/>
      <w:lang w:eastAsia="pl-PL"/>
    </w:rPr>
  </w:style>
  <w:style w:type="character" w:customStyle="1" w:styleId="AkapitzlistZnak">
    <w:name w:val="Akapit z listą Znak"/>
    <w:aliases w:val="A_wyliczenie Znak,K-P_odwolanie Znak,Akapit z listą5 Znak,maz_wyliczenie Znak,opis dzialania Znak,Akapit z listą 1 Znak,Table of contents numbered Znak,Numerowanie Znak,BulletC Znak,Wyliczanie Znak,Obiekt Znak,List Paragraph Znak"/>
    <w:basedOn w:val="Domylnaczcionkaakapitu"/>
    <w:link w:val="Akapitzlist"/>
    <w:uiPriority w:val="34"/>
    <w:qFormat/>
    <w:locked/>
    <w:rsid w:val="00801539"/>
    <w:rPr>
      <w:rFonts w:ascii="Calibri" w:hAnsi="Calibri"/>
    </w:rPr>
  </w:style>
  <w:style w:type="paragraph" w:styleId="Akapitzlist">
    <w:name w:val="List Paragraph"/>
    <w:aliases w:val="A_wyliczenie,K-P_odwolanie,Akapit z listą5,maz_wyliczenie,opis dzialania,Akapit z listą 1,Table of contents numbered,Numerowanie,BulletC,Wyliczanie,Obiekt,List Paragraph,normalny tekst,Akapit z listą31,Bullets,List Paragraph1,L1"/>
    <w:basedOn w:val="Normalny"/>
    <w:link w:val="AkapitzlistZnak"/>
    <w:uiPriority w:val="34"/>
    <w:qFormat/>
    <w:rsid w:val="00801539"/>
    <w:pPr>
      <w:spacing w:after="200" w:line="276" w:lineRule="auto"/>
      <w:ind w:left="720"/>
      <w:contextualSpacing/>
    </w:pPr>
    <w:rPr>
      <w:rFonts w:ascii="Calibri" w:hAnsi="Calibri"/>
    </w:rPr>
  </w:style>
  <w:style w:type="paragraph" w:styleId="Nagwek">
    <w:name w:val="header"/>
    <w:basedOn w:val="Normalny"/>
    <w:link w:val="NagwekZnak"/>
    <w:uiPriority w:val="99"/>
    <w:unhideWhenUsed/>
    <w:rsid w:val="00801539"/>
    <w:pPr>
      <w:tabs>
        <w:tab w:val="center" w:pos="4536"/>
        <w:tab w:val="right" w:pos="9072"/>
      </w:tabs>
    </w:pPr>
  </w:style>
  <w:style w:type="character" w:customStyle="1" w:styleId="NagwekZnak">
    <w:name w:val="Nagłówek Znak"/>
    <w:basedOn w:val="Domylnaczcionkaakapitu"/>
    <w:link w:val="Nagwek"/>
    <w:uiPriority w:val="99"/>
    <w:rsid w:val="00801539"/>
  </w:style>
  <w:style w:type="paragraph" w:styleId="Stopka">
    <w:name w:val="footer"/>
    <w:basedOn w:val="Normalny"/>
    <w:link w:val="StopkaZnak"/>
    <w:uiPriority w:val="99"/>
    <w:unhideWhenUsed/>
    <w:rsid w:val="00801539"/>
    <w:pPr>
      <w:tabs>
        <w:tab w:val="center" w:pos="4536"/>
        <w:tab w:val="right" w:pos="9072"/>
      </w:tabs>
    </w:pPr>
  </w:style>
  <w:style w:type="character" w:customStyle="1" w:styleId="StopkaZnak">
    <w:name w:val="Stopka Znak"/>
    <w:basedOn w:val="Domylnaczcionkaakapitu"/>
    <w:link w:val="Stopka"/>
    <w:uiPriority w:val="99"/>
    <w:rsid w:val="00801539"/>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fn"/>
    <w:basedOn w:val="Normalny"/>
    <w:link w:val="TekstprzypisudolnegoZnak"/>
    <w:uiPriority w:val="99"/>
    <w:unhideWhenUsed/>
    <w:qFormat/>
    <w:rsid w:val="00FC421F"/>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fn Znak"/>
    <w:basedOn w:val="Domylnaczcionkaakapitu"/>
    <w:link w:val="Tekstprzypisudolnego"/>
    <w:uiPriority w:val="99"/>
    <w:rsid w:val="00FC421F"/>
    <w:rPr>
      <w:sz w:val="20"/>
      <w:szCs w:val="20"/>
    </w:rPr>
  </w:style>
  <w:style w:type="character" w:styleId="Odwoanieprzypisudolnego">
    <w:name w:val="footnote reference"/>
    <w:aliases w:val="Footnote Reference Number,Footnote symbol,Footnote reference number,note TESI,SUPERS,EN Footnote Reference,Footnote number,Odwołanie przypisu,Odwo³anie przypisu,Footnote Reference Superscript,Footnote Reference/,Times 10 Point"/>
    <w:uiPriority w:val="99"/>
    <w:rsid w:val="00FC421F"/>
    <w:rPr>
      <w:vertAlign w:val="superscript"/>
    </w:rPr>
  </w:style>
  <w:style w:type="paragraph" w:styleId="Tekstprzypisukocowego">
    <w:name w:val="endnote text"/>
    <w:basedOn w:val="Normalny"/>
    <w:link w:val="TekstprzypisukocowegoZnak"/>
    <w:uiPriority w:val="99"/>
    <w:semiHidden/>
    <w:unhideWhenUsed/>
    <w:rsid w:val="002D0D56"/>
    <w:rPr>
      <w:sz w:val="20"/>
      <w:szCs w:val="20"/>
    </w:rPr>
  </w:style>
  <w:style w:type="character" w:customStyle="1" w:styleId="TekstprzypisukocowegoZnak">
    <w:name w:val="Tekst przypisu końcowego Znak"/>
    <w:basedOn w:val="Domylnaczcionkaakapitu"/>
    <w:link w:val="Tekstprzypisukocowego"/>
    <w:uiPriority w:val="99"/>
    <w:semiHidden/>
    <w:rsid w:val="002D0D56"/>
    <w:rPr>
      <w:sz w:val="20"/>
      <w:szCs w:val="20"/>
    </w:rPr>
  </w:style>
  <w:style w:type="character" w:styleId="Odwoanieprzypisukocowego">
    <w:name w:val="endnote reference"/>
    <w:basedOn w:val="Domylnaczcionkaakapitu"/>
    <w:uiPriority w:val="99"/>
    <w:semiHidden/>
    <w:unhideWhenUsed/>
    <w:rsid w:val="002D0D56"/>
    <w:rPr>
      <w:vertAlign w:val="superscript"/>
    </w:rPr>
  </w:style>
  <w:style w:type="table" w:styleId="Tabela-Siatka">
    <w:name w:val="Table Grid"/>
    <w:basedOn w:val="Standardowy"/>
    <w:uiPriority w:val="39"/>
    <w:rsid w:val="00653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04F86"/>
    <w:rPr>
      <w:sz w:val="16"/>
      <w:szCs w:val="16"/>
    </w:rPr>
  </w:style>
  <w:style w:type="paragraph" w:styleId="Tekstkomentarza">
    <w:name w:val="annotation text"/>
    <w:basedOn w:val="Normalny"/>
    <w:link w:val="TekstkomentarzaZnak"/>
    <w:uiPriority w:val="99"/>
    <w:unhideWhenUsed/>
    <w:rsid w:val="00604F86"/>
    <w:rPr>
      <w:sz w:val="20"/>
      <w:szCs w:val="20"/>
    </w:rPr>
  </w:style>
  <w:style w:type="character" w:customStyle="1" w:styleId="TekstkomentarzaZnak">
    <w:name w:val="Tekst komentarza Znak"/>
    <w:basedOn w:val="Domylnaczcionkaakapitu"/>
    <w:link w:val="Tekstkomentarza"/>
    <w:uiPriority w:val="99"/>
    <w:rsid w:val="00604F86"/>
    <w:rPr>
      <w:sz w:val="20"/>
      <w:szCs w:val="20"/>
    </w:rPr>
  </w:style>
  <w:style w:type="paragraph" w:styleId="Tematkomentarza">
    <w:name w:val="annotation subject"/>
    <w:basedOn w:val="Tekstkomentarza"/>
    <w:next w:val="Tekstkomentarza"/>
    <w:link w:val="TematkomentarzaZnak"/>
    <w:uiPriority w:val="99"/>
    <w:semiHidden/>
    <w:unhideWhenUsed/>
    <w:rsid w:val="00604F86"/>
    <w:rPr>
      <w:b/>
      <w:bCs/>
    </w:rPr>
  </w:style>
  <w:style w:type="character" w:customStyle="1" w:styleId="TematkomentarzaZnak">
    <w:name w:val="Temat komentarza Znak"/>
    <w:basedOn w:val="TekstkomentarzaZnak"/>
    <w:link w:val="Tematkomentarza"/>
    <w:uiPriority w:val="99"/>
    <w:semiHidden/>
    <w:rsid w:val="00604F86"/>
    <w:rPr>
      <w:b/>
      <w:bCs/>
      <w:sz w:val="20"/>
      <w:szCs w:val="20"/>
    </w:rPr>
  </w:style>
  <w:style w:type="paragraph" w:styleId="Tekstdymka">
    <w:name w:val="Balloon Text"/>
    <w:basedOn w:val="Normalny"/>
    <w:link w:val="TekstdymkaZnak"/>
    <w:uiPriority w:val="99"/>
    <w:semiHidden/>
    <w:unhideWhenUsed/>
    <w:rsid w:val="00604F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4F86"/>
    <w:rPr>
      <w:rFonts w:ascii="Segoe UI" w:hAnsi="Segoe UI" w:cs="Segoe UI"/>
      <w:sz w:val="18"/>
      <w:szCs w:val="18"/>
    </w:rPr>
  </w:style>
  <w:style w:type="character" w:customStyle="1" w:styleId="apple-converted-space">
    <w:name w:val="apple-converted-space"/>
    <w:basedOn w:val="Domylnaczcionkaakapitu"/>
    <w:rsid w:val="005E5C90"/>
  </w:style>
  <w:style w:type="character" w:styleId="Pogrubienie">
    <w:name w:val="Strong"/>
    <w:basedOn w:val="Domylnaczcionkaakapitu"/>
    <w:uiPriority w:val="22"/>
    <w:qFormat/>
    <w:rsid w:val="005E5C90"/>
    <w:rPr>
      <w:b/>
      <w:bCs/>
    </w:rPr>
  </w:style>
  <w:style w:type="character" w:customStyle="1" w:styleId="Nagwek1Znak">
    <w:name w:val="Nagłówek 1 Znak"/>
    <w:basedOn w:val="Domylnaczcionkaakapitu"/>
    <w:link w:val="Nagwek1"/>
    <w:uiPriority w:val="9"/>
    <w:rsid w:val="00D9510C"/>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D9510C"/>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A9762C"/>
    <w:rPr>
      <w:i/>
      <w:iCs/>
    </w:rPr>
  </w:style>
  <w:style w:type="character" w:customStyle="1" w:styleId="Nierozpoznanawzmianka1">
    <w:name w:val="Nierozpoznana wzmianka1"/>
    <w:basedOn w:val="Domylnaczcionkaakapitu"/>
    <w:uiPriority w:val="99"/>
    <w:semiHidden/>
    <w:unhideWhenUsed/>
    <w:rsid w:val="00D97BD0"/>
    <w:rPr>
      <w:color w:val="605E5C"/>
      <w:shd w:val="clear" w:color="auto" w:fill="E1DFDD"/>
    </w:rPr>
  </w:style>
  <w:style w:type="character" w:styleId="UyteHipercze">
    <w:name w:val="FollowedHyperlink"/>
    <w:basedOn w:val="Domylnaczcionkaakapitu"/>
    <w:uiPriority w:val="99"/>
    <w:semiHidden/>
    <w:unhideWhenUsed/>
    <w:rsid w:val="0007079C"/>
    <w:rPr>
      <w:color w:val="954F72" w:themeColor="followedHyperlink"/>
      <w:u w:val="single"/>
    </w:rPr>
  </w:style>
  <w:style w:type="paragraph" w:styleId="Poprawka">
    <w:name w:val="Revision"/>
    <w:hidden/>
    <w:uiPriority w:val="99"/>
    <w:semiHidden/>
    <w:rsid w:val="008C4DA6"/>
    <w:pPr>
      <w:spacing w:after="0" w:line="240" w:lineRule="auto"/>
    </w:pPr>
  </w:style>
  <w:style w:type="paragraph" w:styleId="Legenda">
    <w:name w:val="caption"/>
    <w:basedOn w:val="Normalny"/>
    <w:next w:val="Normalny"/>
    <w:link w:val="LegendaZnak"/>
    <w:uiPriority w:val="35"/>
    <w:unhideWhenUsed/>
    <w:qFormat/>
    <w:rsid w:val="008D09D2"/>
    <w:pPr>
      <w:spacing w:after="200"/>
    </w:pPr>
    <w:rPr>
      <w:i/>
      <w:iCs/>
      <w:color w:val="44546A" w:themeColor="text2"/>
      <w:sz w:val="18"/>
      <w:szCs w:val="18"/>
    </w:rPr>
  </w:style>
  <w:style w:type="paragraph" w:customStyle="1" w:styleId="Styl1">
    <w:name w:val="Styl1"/>
    <w:basedOn w:val="NormalnyWeb"/>
    <w:link w:val="Styl1Znak"/>
    <w:qFormat/>
    <w:rsid w:val="001B56C4"/>
    <w:pPr>
      <w:numPr>
        <w:ilvl w:val="1"/>
        <w:numId w:val="1"/>
      </w:numPr>
      <w:shd w:val="clear" w:color="auto" w:fill="FFFFFF"/>
      <w:spacing w:before="120" w:after="120" w:line="360" w:lineRule="auto"/>
    </w:pPr>
    <w:rPr>
      <w:rFonts w:eastAsiaTheme="minorHAnsi"/>
      <w:b/>
      <w:lang w:eastAsia="en-US"/>
    </w:rPr>
  </w:style>
  <w:style w:type="paragraph" w:customStyle="1" w:styleId="N1">
    <w:name w:val="N1"/>
    <w:basedOn w:val="Nagwek1"/>
    <w:link w:val="N1Znak"/>
    <w:qFormat/>
    <w:rsid w:val="00F96951"/>
    <w:pPr>
      <w:numPr>
        <w:numId w:val="1"/>
      </w:numPr>
      <w:spacing w:before="120" w:after="120" w:line="360" w:lineRule="auto"/>
    </w:pPr>
    <w:rPr>
      <w:rFonts w:ascii="Calibri" w:eastAsiaTheme="minorHAnsi" w:hAnsi="Calibri" w:cs="Times New Roman"/>
      <w:b/>
      <w:color w:val="auto"/>
      <w:sz w:val="28"/>
      <w:szCs w:val="24"/>
    </w:rPr>
  </w:style>
  <w:style w:type="character" w:customStyle="1" w:styleId="NormalnyWebZnak">
    <w:name w:val="Normalny (Web) Znak"/>
    <w:basedOn w:val="Domylnaczcionkaakapitu"/>
    <w:link w:val="NormalnyWeb"/>
    <w:uiPriority w:val="99"/>
    <w:rsid w:val="001B56C4"/>
    <w:rPr>
      <w:rFonts w:ascii="Times New Roman" w:eastAsia="Times New Roman" w:hAnsi="Times New Roman" w:cs="Times New Roman"/>
      <w:sz w:val="24"/>
      <w:szCs w:val="24"/>
      <w:lang w:eastAsia="pl-PL"/>
    </w:rPr>
  </w:style>
  <w:style w:type="character" w:customStyle="1" w:styleId="Styl1Znak">
    <w:name w:val="Styl1 Znak"/>
    <w:basedOn w:val="NormalnyWebZnak"/>
    <w:link w:val="Styl1"/>
    <w:rsid w:val="001B56C4"/>
    <w:rPr>
      <w:rFonts w:ascii="Times New Roman" w:eastAsia="Times New Roman" w:hAnsi="Times New Roman" w:cs="Times New Roman"/>
      <w:b/>
      <w:sz w:val="24"/>
      <w:szCs w:val="24"/>
      <w:shd w:val="clear" w:color="auto" w:fill="FFFFFF"/>
      <w:lang w:eastAsia="pl-PL"/>
    </w:rPr>
  </w:style>
  <w:style w:type="paragraph" w:customStyle="1" w:styleId="N2">
    <w:name w:val="N2"/>
    <w:basedOn w:val="Styl1"/>
    <w:link w:val="N2Znak"/>
    <w:qFormat/>
    <w:rsid w:val="001B56C4"/>
  </w:style>
  <w:style w:type="character" w:customStyle="1" w:styleId="N1Znak">
    <w:name w:val="N1 Znak"/>
    <w:basedOn w:val="Nagwek1Znak"/>
    <w:link w:val="N1"/>
    <w:rsid w:val="00F96951"/>
    <w:rPr>
      <w:rFonts w:ascii="Calibri" w:eastAsiaTheme="majorEastAsia" w:hAnsi="Calibri" w:cs="Times New Roman"/>
      <w:b/>
      <w:color w:val="2E74B5" w:themeColor="accent1" w:themeShade="BF"/>
      <w:sz w:val="28"/>
      <w:szCs w:val="24"/>
    </w:rPr>
  </w:style>
  <w:style w:type="paragraph" w:customStyle="1" w:styleId="N3">
    <w:name w:val="N3"/>
    <w:basedOn w:val="NormalnyWeb"/>
    <w:link w:val="N3Znak"/>
    <w:qFormat/>
    <w:rsid w:val="001B56C4"/>
    <w:pPr>
      <w:numPr>
        <w:ilvl w:val="2"/>
        <w:numId w:val="1"/>
      </w:numPr>
      <w:shd w:val="clear" w:color="auto" w:fill="FFFFFF"/>
      <w:spacing w:before="120" w:after="120" w:line="360" w:lineRule="auto"/>
    </w:pPr>
    <w:rPr>
      <w:rFonts w:eastAsiaTheme="minorHAnsi"/>
      <w:b/>
      <w:lang w:eastAsia="en-US"/>
    </w:rPr>
  </w:style>
  <w:style w:type="character" w:customStyle="1" w:styleId="N2Znak">
    <w:name w:val="N2 Znak"/>
    <w:basedOn w:val="Styl1Znak"/>
    <w:link w:val="N2"/>
    <w:rsid w:val="001B56C4"/>
    <w:rPr>
      <w:rFonts w:ascii="Times New Roman" w:eastAsia="Times New Roman" w:hAnsi="Times New Roman" w:cs="Times New Roman"/>
      <w:b/>
      <w:sz w:val="24"/>
      <w:szCs w:val="24"/>
      <w:shd w:val="clear" w:color="auto" w:fill="FFFFFF"/>
      <w:lang w:eastAsia="pl-PL"/>
    </w:rPr>
  </w:style>
  <w:style w:type="character" w:customStyle="1" w:styleId="Nagwek3Znak">
    <w:name w:val="Nagłówek 3 Znak"/>
    <w:basedOn w:val="Domylnaczcionkaakapitu"/>
    <w:link w:val="Nagwek3"/>
    <w:uiPriority w:val="9"/>
    <w:semiHidden/>
    <w:rsid w:val="001B56C4"/>
    <w:rPr>
      <w:rFonts w:asciiTheme="majorHAnsi" w:eastAsiaTheme="majorEastAsia" w:hAnsiTheme="majorHAnsi" w:cstheme="majorBidi"/>
      <w:color w:val="1F4D78" w:themeColor="accent1" w:themeShade="7F"/>
      <w:sz w:val="24"/>
      <w:szCs w:val="24"/>
    </w:rPr>
  </w:style>
  <w:style w:type="character" w:customStyle="1" w:styleId="N3Znak">
    <w:name w:val="N3 Znak"/>
    <w:basedOn w:val="NormalnyWebZnak"/>
    <w:link w:val="N3"/>
    <w:rsid w:val="001B56C4"/>
    <w:rPr>
      <w:rFonts w:ascii="Times New Roman" w:eastAsia="Times New Roman" w:hAnsi="Times New Roman" w:cs="Times New Roman"/>
      <w:b/>
      <w:sz w:val="24"/>
      <w:szCs w:val="24"/>
      <w:shd w:val="clear" w:color="auto" w:fill="FFFFFF"/>
      <w:lang w:eastAsia="pl-PL"/>
    </w:rPr>
  </w:style>
  <w:style w:type="paragraph" w:styleId="Spistreci1">
    <w:name w:val="toc 1"/>
    <w:basedOn w:val="Normalny"/>
    <w:next w:val="Normalny"/>
    <w:autoRedefine/>
    <w:uiPriority w:val="39"/>
    <w:unhideWhenUsed/>
    <w:rsid w:val="001B56C4"/>
    <w:pPr>
      <w:spacing w:after="100"/>
    </w:pPr>
  </w:style>
  <w:style w:type="paragraph" w:styleId="Spistreci2">
    <w:name w:val="toc 2"/>
    <w:basedOn w:val="Normalny"/>
    <w:next w:val="Normalny"/>
    <w:autoRedefine/>
    <w:uiPriority w:val="39"/>
    <w:unhideWhenUsed/>
    <w:rsid w:val="001B56C4"/>
    <w:pPr>
      <w:spacing w:after="100"/>
      <w:ind w:left="220"/>
    </w:pPr>
  </w:style>
  <w:style w:type="paragraph" w:styleId="Spistreci3">
    <w:name w:val="toc 3"/>
    <w:basedOn w:val="Normalny"/>
    <w:next w:val="Normalny"/>
    <w:autoRedefine/>
    <w:uiPriority w:val="39"/>
    <w:unhideWhenUsed/>
    <w:rsid w:val="001B56C4"/>
    <w:pPr>
      <w:spacing w:after="100"/>
      <w:ind w:left="440"/>
    </w:pPr>
  </w:style>
  <w:style w:type="paragraph" w:styleId="Tekstpodstawowy2">
    <w:name w:val="Body Text 2"/>
    <w:basedOn w:val="Normalny"/>
    <w:link w:val="Tekstpodstawowy2Znak"/>
    <w:uiPriority w:val="99"/>
    <w:semiHidden/>
    <w:unhideWhenUsed/>
    <w:rsid w:val="007906A0"/>
    <w:pPr>
      <w:spacing w:line="360" w:lineRule="auto"/>
      <w:jc w:val="both"/>
    </w:pPr>
    <w:rPr>
      <w:rFonts w:ascii="Arial" w:hAnsi="Arial" w:cs="Arial"/>
      <w:lang w:eastAsia="pl-PL"/>
    </w:rPr>
  </w:style>
  <w:style w:type="character" w:customStyle="1" w:styleId="Tekstpodstawowy2Znak">
    <w:name w:val="Tekst podstawowy 2 Znak"/>
    <w:basedOn w:val="Domylnaczcionkaakapitu"/>
    <w:link w:val="Tekstpodstawowy2"/>
    <w:uiPriority w:val="99"/>
    <w:semiHidden/>
    <w:rsid w:val="007906A0"/>
    <w:rPr>
      <w:rFonts w:ascii="Arial" w:hAnsi="Arial" w:cs="Arial"/>
      <w:lang w:eastAsia="pl-PL"/>
    </w:rPr>
  </w:style>
  <w:style w:type="character" w:customStyle="1" w:styleId="LegendaZnak">
    <w:name w:val="Legenda Znak"/>
    <w:basedOn w:val="Domylnaczcionkaakapitu"/>
    <w:link w:val="Legenda"/>
    <w:uiPriority w:val="35"/>
    <w:locked/>
    <w:rsid w:val="003E5C3B"/>
    <w:rPr>
      <w:i/>
      <w:iCs/>
      <w:color w:val="44546A" w:themeColor="text2"/>
      <w:sz w:val="18"/>
      <w:szCs w:val="18"/>
    </w:rPr>
  </w:style>
  <w:style w:type="character" w:customStyle="1" w:styleId="Nierozpoznanawzmianka10">
    <w:name w:val="Nierozpoznana wzmianka1"/>
    <w:basedOn w:val="Domylnaczcionkaakapitu"/>
    <w:uiPriority w:val="99"/>
    <w:semiHidden/>
    <w:unhideWhenUsed/>
    <w:rsid w:val="00391401"/>
    <w:rPr>
      <w:color w:val="605E5C"/>
      <w:shd w:val="clear" w:color="auto" w:fill="E1DFDD"/>
    </w:rPr>
  </w:style>
  <w:style w:type="paragraph" w:customStyle="1" w:styleId="TYTUAKTUprzedmiotregulacjiustawylubrozporzdzenia">
    <w:name w:val="TYTUŁ_AKTU – przedmiot regulacji ustawy lub rozporządzenia"/>
    <w:next w:val="Normalny"/>
    <w:uiPriority w:val="6"/>
    <w:qFormat/>
    <w:rsid w:val="00391401"/>
    <w:pPr>
      <w:keepNext/>
      <w:suppressAutoHyphens/>
      <w:spacing w:before="120" w:after="360" w:line="360" w:lineRule="auto"/>
      <w:jc w:val="center"/>
    </w:pPr>
    <w:rPr>
      <w:rFonts w:ascii="Times" w:eastAsia="Times New Roman" w:hAnsi="Times" w:cs="Arial"/>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5600">
      <w:bodyDiv w:val="1"/>
      <w:marLeft w:val="0"/>
      <w:marRight w:val="0"/>
      <w:marTop w:val="0"/>
      <w:marBottom w:val="0"/>
      <w:divBdr>
        <w:top w:val="none" w:sz="0" w:space="0" w:color="auto"/>
        <w:left w:val="none" w:sz="0" w:space="0" w:color="auto"/>
        <w:bottom w:val="none" w:sz="0" w:space="0" w:color="auto"/>
        <w:right w:val="none" w:sz="0" w:space="0" w:color="auto"/>
      </w:divBdr>
    </w:div>
    <w:div w:id="577130128">
      <w:bodyDiv w:val="1"/>
      <w:marLeft w:val="0"/>
      <w:marRight w:val="0"/>
      <w:marTop w:val="0"/>
      <w:marBottom w:val="0"/>
      <w:divBdr>
        <w:top w:val="none" w:sz="0" w:space="0" w:color="auto"/>
        <w:left w:val="none" w:sz="0" w:space="0" w:color="auto"/>
        <w:bottom w:val="none" w:sz="0" w:space="0" w:color="auto"/>
        <w:right w:val="none" w:sz="0" w:space="0" w:color="auto"/>
      </w:divBdr>
    </w:div>
    <w:div w:id="820390094">
      <w:bodyDiv w:val="1"/>
      <w:marLeft w:val="0"/>
      <w:marRight w:val="0"/>
      <w:marTop w:val="0"/>
      <w:marBottom w:val="0"/>
      <w:divBdr>
        <w:top w:val="none" w:sz="0" w:space="0" w:color="auto"/>
        <w:left w:val="none" w:sz="0" w:space="0" w:color="auto"/>
        <w:bottom w:val="none" w:sz="0" w:space="0" w:color="auto"/>
        <w:right w:val="none" w:sz="0" w:space="0" w:color="auto"/>
      </w:divBdr>
    </w:div>
    <w:div w:id="1238127366">
      <w:bodyDiv w:val="1"/>
      <w:marLeft w:val="0"/>
      <w:marRight w:val="0"/>
      <w:marTop w:val="0"/>
      <w:marBottom w:val="0"/>
      <w:divBdr>
        <w:top w:val="none" w:sz="0" w:space="0" w:color="auto"/>
        <w:left w:val="none" w:sz="0" w:space="0" w:color="auto"/>
        <w:bottom w:val="none" w:sz="0" w:space="0" w:color="auto"/>
        <w:right w:val="none" w:sz="0" w:space="0" w:color="auto"/>
      </w:divBdr>
    </w:div>
    <w:div w:id="1566450035">
      <w:bodyDiv w:val="1"/>
      <w:marLeft w:val="0"/>
      <w:marRight w:val="0"/>
      <w:marTop w:val="0"/>
      <w:marBottom w:val="0"/>
      <w:divBdr>
        <w:top w:val="none" w:sz="0" w:space="0" w:color="auto"/>
        <w:left w:val="none" w:sz="0" w:space="0" w:color="auto"/>
        <w:bottom w:val="none" w:sz="0" w:space="0" w:color="auto"/>
        <w:right w:val="none" w:sz="0" w:space="0" w:color="auto"/>
      </w:divBdr>
    </w:div>
    <w:div w:id="1938714484">
      <w:bodyDiv w:val="1"/>
      <w:marLeft w:val="0"/>
      <w:marRight w:val="0"/>
      <w:marTop w:val="0"/>
      <w:marBottom w:val="0"/>
      <w:divBdr>
        <w:top w:val="none" w:sz="0" w:space="0" w:color="auto"/>
        <w:left w:val="none" w:sz="0" w:space="0" w:color="auto"/>
        <w:bottom w:val="none" w:sz="0" w:space="0" w:color="auto"/>
        <w:right w:val="none" w:sz="0" w:space="0" w:color="auto"/>
      </w:divBdr>
      <w:divsChild>
        <w:div w:id="1407069650">
          <w:marLeft w:val="0"/>
          <w:marRight w:val="0"/>
          <w:marTop w:val="0"/>
          <w:marBottom w:val="0"/>
          <w:divBdr>
            <w:top w:val="none" w:sz="0" w:space="0" w:color="auto"/>
            <w:left w:val="none" w:sz="0" w:space="0" w:color="auto"/>
            <w:bottom w:val="none" w:sz="0" w:space="0" w:color="auto"/>
            <w:right w:val="none" w:sz="0" w:space="0" w:color="auto"/>
          </w:divBdr>
          <w:divsChild>
            <w:div w:id="2071074146">
              <w:marLeft w:val="0"/>
              <w:marRight w:val="0"/>
              <w:marTop w:val="0"/>
              <w:marBottom w:val="0"/>
              <w:divBdr>
                <w:top w:val="none" w:sz="0" w:space="0" w:color="auto"/>
                <w:left w:val="none" w:sz="0" w:space="0" w:color="auto"/>
                <w:bottom w:val="none" w:sz="0" w:space="0" w:color="auto"/>
                <w:right w:val="none" w:sz="0" w:space="0" w:color="auto"/>
              </w:divBdr>
              <w:divsChild>
                <w:div w:id="463163307">
                  <w:marLeft w:val="0"/>
                  <w:marRight w:val="0"/>
                  <w:marTop w:val="0"/>
                  <w:marBottom w:val="0"/>
                  <w:divBdr>
                    <w:top w:val="none" w:sz="0" w:space="0" w:color="auto"/>
                    <w:left w:val="none" w:sz="0" w:space="0" w:color="auto"/>
                    <w:bottom w:val="none" w:sz="0" w:space="0" w:color="auto"/>
                    <w:right w:val="none" w:sz="0" w:space="0" w:color="auto"/>
                  </w:divBdr>
                  <w:divsChild>
                    <w:div w:id="68691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hyperlink" Target="https://www.funduszeeuropejskie.gov.pl/strony/o-funduszach/dokumenty/umowa-partnerstwa"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diagramData" Target="diagrams/data3.xml"/><Relationship Id="rId34" Type="http://schemas.openxmlformats.org/officeDocument/2006/relationships/hyperlink" Target="https://barometrzawodow.pl/userfiles/Barometr/2019/raport_ogolnopolski_pl.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hyperlink" Target="https://www.power.gov.pl/media/45639/Raport_koncowy_zlozony_graficznie.pdf" TargetMode="External"/><Relationship Id="rId38" Type="http://schemas.openxmlformats.org/officeDocument/2006/relationships/image" Target="media/image3.png"/><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hyperlink" Target="https://www.power.gov.pl/media/8273/Ewaluacja_podazowego_i_popytowego_systemu_ksztalcenia_pracownikow_MSP.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diagramColors" Target="diagrams/colors3.xml"/><Relationship Id="rId32" Type="http://schemas.openxmlformats.org/officeDocument/2006/relationships/hyperlink" Target="https://www.parp.gov.pl/component/publications/publication/efektywnosc-swiadczenia-uslug-proinnowacyjnych-w-modelu-popytowym" TargetMode="External"/><Relationship Id="rId37" Type="http://schemas.openxmlformats.org/officeDocument/2006/relationships/image" Target="media/image2.png"/><Relationship Id="rId40" Type="http://schemas.openxmlformats.org/officeDocument/2006/relationships/footer" Target="footer1.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diagramQuickStyle" Target="diagrams/quickStyle3.xml"/><Relationship Id="rId28" Type="http://schemas.openxmlformats.org/officeDocument/2006/relationships/hyperlink" Target="https://www.funduszeeuropejskie.gov.pl/strony/o-funduszach/dokumenty/wytyczne-w-zakresie-realizacji-przedsiewziec-z-udzialem-srodkow-europejskiego-funduszu-spolecznego-w-obszarze-przystosowania-przedsiebiorcow-i-pracownikow-do-zmian-na-lata-2014-2020/" TargetMode="External"/><Relationship Id="rId36" Type="http://schemas.openxmlformats.org/officeDocument/2006/relationships/hyperlink" Target="https://www.funduszeeuropejskie.gov.pl/media/54997/Wytyczne_w_zakresie_rownosci_zatwierdzone_050418.pdf" TargetMode="External"/><Relationship Id="rId10" Type="http://schemas.openxmlformats.org/officeDocument/2006/relationships/hyperlink" Target="https://serwis-uslugirozwojowe.parp.gov.pl/informacje-o-portalu/regulamin" TargetMode="External"/><Relationship Id="rId19" Type="http://schemas.openxmlformats.org/officeDocument/2006/relationships/diagramColors" Target="diagrams/colors2.xml"/><Relationship Id="rId31" Type="http://schemas.openxmlformats.org/officeDocument/2006/relationships/hyperlink" Target="https://www.ewaluacja.gov.pl/media/54022/RK_BUR_PARP.pdf" TargetMode="External"/><Relationship Id="rId4" Type="http://schemas.openxmlformats.org/officeDocument/2006/relationships/settings" Target="settings.xml"/><Relationship Id="rId9" Type="http://schemas.openxmlformats.org/officeDocument/2006/relationships/hyperlink" Target="https://uslugirozwojowe.parp.gov.pl/" TargetMode="External"/><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hyperlink" Target="https://www.power.gov.pl/strony/o-programie/dokumenty/program-wiedza-edukacja-rozwoj-2014-2020/" TargetMode="External"/><Relationship Id="rId30" Type="http://schemas.openxmlformats.org/officeDocument/2006/relationships/hyperlink" Target="https://rpo.slaskie.pl/czytaj/oceny_i_analizy" TargetMode="External"/><Relationship Id="rId35" Type="http://schemas.openxmlformats.org/officeDocument/2006/relationships/hyperlink" Target="https://www.power.gov.pl/strony/o-programie/raporty/opracowani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serwis-uslugirozwojowe.parp.gov.pl/files/Do_pobrania/poradnik%20dla%20przedsiebiorc&#243;w/Poradnik_dla_przedsiebiorcow.pdf" TargetMode="External"/><Relationship Id="rId2" Type="http://schemas.openxmlformats.org/officeDocument/2006/relationships/hyperlink" Target="https://serwis-uslugirozwojowe.parp.gov.pl/files/Do_pobrania/Poradnik_dla_branzy_szkoleniowej/poradnik_dla_branzy_szkoleniowej_pdf.pdf" TargetMode="External"/><Relationship Id="rId1" Type="http://schemas.openxmlformats.org/officeDocument/2006/relationships/hyperlink" Target="https://serwis-uslugirozwojowe.parp.gov.pl/baza-wiedzy/faq" TargetMode="External"/></Relationships>
</file>

<file path=word/diagrams/colors1.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B58F1A-C093-49BD-80AD-2237C0B93827}" type="doc">
      <dgm:prSet loTypeId="urn:microsoft.com/office/officeart/2005/8/layout/bProcess3" loCatId="process" qsTypeId="urn:microsoft.com/office/officeart/2005/8/quickstyle/simple1" qsCatId="simple" csTypeId="urn:microsoft.com/office/officeart/2005/8/colors/accent5_2" csCatId="accent5" phldr="1"/>
      <dgm:spPr/>
      <dgm:t>
        <a:bodyPr/>
        <a:lstStyle/>
        <a:p>
          <a:endParaRPr lang="pl-PL"/>
        </a:p>
      </dgm:t>
    </dgm:pt>
    <dgm:pt modelId="{8A51A739-DB56-4C2D-8F94-9B4A31A02C8B}">
      <dgm:prSet phldrT="[Tekst]" custT="1"/>
      <dgm:spPr>
        <a:xfrm>
          <a:off x="20932" y="1082"/>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pl-PL" sz="800">
              <a:solidFill>
                <a:sysClr val="windowText" lastClr="000000">
                  <a:lumMod val="75000"/>
                  <a:lumOff val="25000"/>
                </a:sysClr>
              </a:solidFill>
              <a:latin typeface="Century Gothic"/>
              <a:ea typeface="+mn-ea"/>
              <a:cs typeface="+mn-cs"/>
            </a:rPr>
            <a:t>Firma lub osoba zainteresowana usługą rejestruje się </a:t>
          </a:r>
          <a:br>
            <a:rPr lang="pl-PL" sz="800">
              <a:solidFill>
                <a:sysClr val="windowText" lastClr="000000">
                  <a:lumMod val="75000"/>
                  <a:lumOff val="25000"/>
                </a:sysClr>
              </a:solidFill>
              <a:latin typeface="Century Gothic"/>
              <a:ea typeface="+mn-ea"/>
              <a:cs typeface="+mn-cs"/>
            </a:rPr>
          </a:br>
          <a:r>
            <a:rPr lang="pl-PL" sz="800">
              <a:solidFill>
                <a:sysClr val="windowText" lastClr="000000">
                  <a:lumMod val="75000"/>
                  <a:lumOff val="25000"/>
                </a:sysClr>
              </a:solidFill>
              <a:latin typeface="Century Gothic"/>
              <a:ea typeface="+mn-ea"/>
              <a:cs typeface="+mn-cs"/>
            </a:rPr>
            <a:t>w BUR </a:t>
          </a:r>
        </a:p>
      </dgm:t>
    </dgm:pt>
    <dgm:pt modelId="{5A66EB1D-2EE5-410C-9E06-D7ED38D400C7}" type="parTrans" cxnId="{AB0B4C25-1643-457D-BC63-0EE29242D935}">
      <dgm:prSet/>
      <dgm:spPr/>
      <dgm:t>
        <a:bodyPr/>
        <a:lstStyle/>
        <a:p>
          <a:pPr algn="ctr">
            <a:spcAft>
              <a:spcPts val="0"/>
            </a:spcAft>
          </a:pPr>
          <a:endParaRPr lang="pl-PL" sz="800">
            <a:solidFill>
              <a:schemeClr val="tx1">
                <a:lumMod val="75000"/>
                <a:lumOff val="25000"/>
              </a:schemeClr>
            </a:solidFill>
          </a:endParaRPr>
        </a:p>
      </dgm:t>
    </dgm:pt>
    <dgm:pt modelId="{3BCAF7A9-AD4B-4002-9088-7A308F10D4CF}" type="sibTrans" cxnId="{AB0B4C25-1643-457D-BC63-0EE29242D935}">
      <dgm:prSet custT="1"/>
      <dgm:spPr>
        <a:xfrm>
          <a:off x="1238350" y="321128"/>
          <a:ext cx="249820" cy="91440"/>
        </a:xfrm>
        <a:noFill/>
        <a:ln w="6350" cap="flat" cmpd="sng" algn="ctr">
          <a:solidFill>
            <a:srgbClr val="5F9C9D">
              <a:hueOff val="0"/>
              <a:satOff val="0"/>
              <a:lumOff val="0"/>
              <a:alphaOff val="0"/>
            </a:srgbClr>
          </a:solidFill>
          <a:prstDash val="solid"/>
          <a:miter lim="800000"/>
          <a:tailEnd type="arrow"/>
        </a:ln>
        <a:effectLst/>
      </dgm:spPr>
      <dgm:t>
        <a:bodyPr/>
        <a:lstStyle/>
        <a:p>
          <a:pPr algn="ctr">
            <a:spcAft>
              <a:spcPts val="0"/>
            </a:spcAft>
            <a:buNone/>
          </a:pPr>
          <a:endParaRPr lang="pl-PL" sz="800">
            <a:solidFill>
              <a:sysClr val="windowText" lastClr="000000">
                <a:lumMod val="75000"/>
                <a:lumOff val="25000"/>
              </a:sysClr>
            </a:solidFill>
            <a:latin typeface="Century Gothic"/>
            <a:ea typeface="+mn-ea"/>
            <a:cs typeface="+mn-cs"/>
          </a:endParaRPr>
        </a:p>
      </dgm:t>
    </dgm:pt>
    <dgm:pt modelId="{CA711396-65AC-47A3-9C01-700E24024588}">
      <dgm:prSet phldrT="[Tekst]" custT="1"/>
      <dgm:spPr>
        <a:xfrm>
          <a:off x="1520571" y="1082"/>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pl-PL" sz="800">
              <a:solidFill>
                <a:sysClr val="windowText" lastClr="000000">
                  <a:lumMod val="75000"/>
                  <a:lumOff val="25000"/>
                </a:sysClr>
              </a:solidFill>
              <a:latin typeface="Century Gothic"/>
              <a:ea typeface="+mn-ea"/>
              <a:cs typeface="+mn-cs"/>
            </a:rPr>
            <a:t>Firma lub osoba zainteresowana usługą wysyła formularz zgłoszeniowy </a:t>
          </a:r>
        </a:p>
      </dgm:t>
    </dgm:pt>
    <dgm:pt modelId="{67E08EA1-F2AE-4777-9E48-62C6857FD051}" type="parTrans" cxnId="{7950AB74-A6F6-45EF-9815-1FFBFFAF733D}">
      <dgm:prSet/>
      <dgm:spPr/>
      <dgm:t>
        <a:bodyPr/>
        <a:lstStyle/>
        <a:p>
          <a:pPr algn="ctr">
            <a:spcAft>
              <a:spcPts val="0"/>
            </a:spcAft>
          </a:pPr>
          <a:endParaRPr lang="pl-PL" sz="800">
            <a:solidFill>
              <a:schemeClr val="tx1">
                <a:lumMod val="75000"/>
                <a:lumOff val="25000"/>
              </a:schemeClr>
            </a:solidFill>
          </a:endParaRPr>
        </a:p>
      </dgm:t>
    </dgm:pt>
    <dgm:pt modelId="{7FAB89F0-63F7-4D2C-91DC-DD7FABFD15AF}" type="sibTrans" cxnId="{7950AB74-A6F6-45EF-9815-1FFBFFAF733D}">
      <dgm:prSet custT="1"/>
      <dgm:spPr>
        <a:xfrm>
          <a:off x="2737989" y="321128"/>
          <a:ext cx="259671" cy="91440"/>
        </a:xfrm>
        <a:noFill/>
        <a:ln w="6350" cap="flat" cmpd="sng" algn="ctr">
          <a:solidFill>
            <a:srgbClr val="5F9C9D">
              <a:hueOff val="0"/>
              <a:satOff val="0"/>
              <a:lumOff val="0"/>
              <a:alphaOff val="0"/>
            </a:srgbClr>
          </a:solidFill>
          <a:prstDash val="solid"/>
          <a:miter lim="800000"/>
          <a:tailEnd type="arrow"/>
        </a:ln>
        <a:effectLst/>
      </dgm:spPr>
      <dgm:t>
        <a:bodyPr/>
        <a:lstStyle/>
        <a:p>
          <a:pPr algn="ctr">
            <a:spcAft>
              <a:spcPts val="0"/>
            </a:spcAft>
            <a:buNone/>
          </a:pPr>
          <a:endParaRPr lang="pl-PL" sz="800">
            <a:solidFill>
              <a:sysClr val="windowText" lastClr="000000">
                <a:lumMod val="75000"/>
                <a:lumOff val="25000"/>
              </a:sysClr>
            </a:solidFill>
            <a:latin typeface="Century Gothic"/>
            <a:ea typeface="+mn-ea"/>
            <a:cs typeface="+mn-cs"/>
          </a:endParaRPr>
        </a:p>
      </dgm:t>
    </dgm:pt>
    <dgm:pt modelId="{E46040AC-CDDA-4157-837F-9CDF26B48043}">
      <dgm:prSet phldrT="[Tekst]" custT="1"/>
      <dgm:spPr>
        <a:xfrm>
          <a:off x="3030061" y="1082"/>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pl-PL" sz="800">
              <a:solidFill>
                <a:sysClr val="windowText" lastClr="000000">
                  <a:lumMod val="75000"/>
                  <a:lumOff val="25000"/>
                </a:sysClr>
              </a:solidFill>
              <a:latin typeface="Century Gothic"/>
              <a:ea typeface="+mn-ea"/>
              <a:cs typeface="+mn-cs"/>
            </a:rPr>
            <a:t>Operator</a:t>
          </a:r>
          <a:r>
            <a:rPr lang="pl-PL" sz="800" baseline="0">
              <a:solidFill>
                <a:sysClr val="windowText" lastClr="000000">
                  <a:lumMod val="75000"/>
                  <a:lumOff val="25000"/>
                </a:sysClr>
              </a:solidFill>
              <a:latin typeface="Century Gothic"/>
              <a:ea typeface="+mn-ea"/>
              <a:cs typeface="+mn-cs"/>
            </a:rPr>
            <a:t>* weryfikuje formularz zgłoszeniowy</a:t>
          </a:r>
          <a:r>
            <a:rPr lang="pl-PL" sz="800">
              <a:solidFill>
                <a:sysClr val="windowText" lastClr="000000">
                  <a:lumMod val="75000"/>
                  <a:lumOff val="25000"/>
                </a:sysClr>
              </a:solidFill>
              <a:latin typeface="Century Gothic"/>
              <a:ea typeface="+mn-ea"/>
              <a:cs typeface="+mn-cs"/>
            </a:rPr>
            <a:t> </a:t>
          </a:r>
        </a:p>
      </dgm:t>
    </dgm:pt>
    <dgm:pt modelId="{973EF31E-177F-4612-B1A1-A49F12BE73DD}" type="parTrans" cxnId="{E6E6635E-1E4D-411C-88B9-FDFD3D762601}">
      <dgm:prSet/>
      <dgm:spPr/>
      <dgm:t>
        <a:bodyPr/>
        <a:lstStyle/>
        <a:p>
          <a:pPr algn="ctr">
            <a:spcAft>
              <a:spcPts val="0"/>
            </a:spcAft>
          </a:pPr>
          <a:endParaRPr lang="pl-PL" sz="800">
            <a:solidFill>
              <a:schemeClr val="tx1">
                <a:lumMod val="75000"/>
                <a:lumOff val="25000"/>
              </a:schemeClr>
            </a:solidFill>
          </a:endParaRPr>
        </a:p>
      </dgm:t>
    </dgm:pt>
    <dgm:pt modelId="{9E487AA4-E6AA-4DDD-A440-B0108CD23437}" type="sibTrans" cxnId="{E6E6635E-1E4D-411C-88B9-FDFD3D762601}">
      <dgm:prSet custT="1"/>
      <dgm:spPr>
        <a:xfrm>
          <a:off x="4247480" y="321128"/>
          <a:ext cx="239969" cy="91440"/>
        </a:xfrm>
        <a:noFill/>
        <a:ln w="6350" cap="flat" cmpd="sng" algn="ctr">
          <a:solidFill>
            <a:srgbClr val="5F9C9D">
              <a:hueOff val="0"/>
              <a:satOff val="0"/>
              <a:lumOff val="0"/>
              <a:alphaOff val="0"/>
            </a:srgbClr>
          </a:solidFill>
          <a:prstDash val="solid"/>
          <a:miter lim="800000"/>
          <a:tailEnd type="arrow"/>
        </a:ln>
        <a:effectLst/>
      </dgm:spPr>
      <dgm:t>
        <a:bodyPr/>
        <a:lstStyle/>
        <a:p>
          <a:pPr algn="ctr">
            <a:spcAft>
              <a:spcPts val="0"/>
            </a:spcAft>
            <a:buNone/>
          </a:pPr>
          <a:endParaRPr lang="pl-PL" sz="800">
            <a:solidFill>
              <a:sysClr val="windowText" lastClr="000000">
                <a:lumMod val="75000"/>
                <a:lumOff val="25000"/>
              </a:sysClr>
            </a:solidFill>
            <a:latin typeface="Century Gothic"/>
            <a:ea typeface="+mn-ea"/>
            <a:cs typeface="+mn-cs"/>
          </a:endParaRPr>
        </a:p>
      </dgm:t>
    </dgm:pt>
    <dgm:pt modelId="{AAD1F0B1-C37B-4F2A-A79F-8A9B31304762}">
      <dgm:prSet phldrT="[Tekst]" custT="1"/>
      <dgm:spPr>
        <a:xfrm>
          <a:off x="4519849" y="1082"/>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pl-PL" sz="800">
              <a:solidFill>
                <a:sysClr val="windowText" lastClr="000000">
                  <a:lumMod val="75000"/>
                  <a:lumOff val="25000"/>
                </a:sysClr>
              </a:solidFill>
              <a:latin typeface="Century Gothic"/>
              <a:ea typeface="+mn-ea"/>
              <a:cs typeface="+mn-cs"/>
            </a:rPr>
            <a:t>Uczestnik wybiera usługę poprzez BUR </a:t>
          </a:r>
        </a:p>
      </dgm:t>
    </dgm:pt>
    <dgm:pt modelId="{066D36F2-87C7-446C-A230-CDBDC82DAA96}" type="parTrans" cxnId="{9827E4A2-0709-4C04-8683-67E123ADBCB4}">
      <dgm:prSet/>
      <dgm:spPr/>
      <dgm:t>
        <a:bodyPr/>
        <a:lstStyle/>
        <a:p>
          <a:pPr algn="ctr">
            <a:spcAft>
              <a:spcPts val="0"/>
            </a:spcAft>
          </a:pPr>
          <a:endParaRPr lang="pl-PL" sz="800">
            <a:solidFill>
              <a:schemeClr val="tx1">
                <a:lumMod val="75000"/>
                <a:lumOff val="25000"/>
              </a:schemeClr>
            </a:solidFill>
          </a:endParaRPr>
        </a:p>
      </dgm:t>
    </dgm:pt>
    <dgm:pt modelId="{249749DC-3976-459E-A867-83A5C6855AF2}" type="sibTrans" cxnId="{9827E4A2-0709-4C04-8683-67E123ADBCB4}">
      <dgm:prSet custT="1"/>
      <dgm:spPr>
        <a:xfrm>
          <a:off x="630541" y="730814"/>
          <a:ext cx="4498917" cy="239052"/>
        </a:xfrm>
        <a:noFill/>
        <a:ln w="6350" cap="flat" cmpd="sng" algn="ctr">
          <a:solidFill>
            <a:srgbClr val="5F9C9D">
              <a:hueOff val="0"/>
              <a:satOff val="0"/>
              <a:lumOff val="0"/>
              <a:alphaOff val="0"/>
            </a:srgbClr>
          </a:solidFill>
          <a:prstDash val="solid"/>
          <a:miter lim="800000"/>
          <a:tailEnd type="arrow"/>
        </a:ln>
        <a:effectLst/>
      </dgm:spPr>
      <dgm:t>
        <a:bodyPr/>
        <a:lstStyle/>
        <a:p>
          <a:pPr algn="ctr">
            <a:spcAft>
              <a:spcPts val="0"/>
            </a:spcAft>
            <a:buNone/>
          </a:pPr>
          <a:endParaRPr lang="pl-PL" sz="800">
            <a:solidFill>
              <a:sysClr val="windowText" lastClr="000000">
                <a:lumMod val="75000"/>
                <a:lumOff val="25000"/>
              </a:sysClr>
            </a:solidFill>
            <a:latin typeface="Century Gothic"/>
            <a:ea typeface="+mn-ea"/>
            <a:cs typeface="+mn-cs"/>
          </a:endParaRPr>
        </a:p>
      </dgm:t>
    </dgm:pt>
    <dgm:pt modelId="{915FE940-859B-44E2-BD0F-224CA14A2F07}">
      <dgm:prSet phldrT="[Tekst]" custT="1"/>
      <dgm:spPr>
        <a:xfrm>
          <a:off x="20932" y="1002266"/>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pl-PL" sz="800">
              <a:solidFill>
                <a:sysClr val="windowText" lastClr="000000">
                  <a:lumMod val="75000"/>
                  <a:lumOff val="25000"/>
                </a:sysClr>
              </a:solidFill>
              <a:latin typeface="Century Gothic"/>
              <a:ea typeface="+mn-ea"/>
              <a:cs typeface="+mn-cs"/>
            </a:rPr>
            <a:t>Operator zawiera z uczestnikiem umowę dofinansowania</a:t>
          </a:r>
        </a:p>
      </dgm:t>
    </dgm:pt>
    <dgm:pt modelId="{42120863-074F-4C53-9FA5-08CE2A112473}" type="parTrans" cxnId="{DD261488-6003-4A49-9922-C8872ABE06CA}">
      <dgm:prSet/>
      <dgm:spPr/>
      <dgm:t>
        <a:bodyPr/>
        <a:lstStyle/>
        <a:p>
          <a:pPr algn="ctr">
            <a:spcAft>
              <a:spcPts val="0"/>
            </a:spcAft>
          </a:pPr>
          <a:endParaRPr lang="pl-PL" sz="800">
            <a:solidFill>
              <a:schemeClr val="tx1">
                <a:lumMod val="75000"/>
                <a:lumOff val="25000"/>
              </a:schemeClr>
            </a:solidFill>
          </a:endParaRPr>
        </a:p>
      </dgm:t>
    </dgm:pt>
    <dgm:pt modelId="{4AD67B6E-71A8-456E-959F-E8FF64566BD3}" type="sibTrans" cxnId="{DD261488-6003-4A49-9922-C8872ABE06CA}">
      <dgm:prSet/>
      <dgm:spPr>
        <a:xfrm>
          <a:off x="1238350" y="1322311"/>
          <a:ext cx="249820" cy="91440"/>
        </a:xfrm>
        <a:noFill/>
        <a:ln w="6350" cap="flat" cmpd="sng" algn="ctr">
          <a:solidFill>
            <a:srgbClr val="5F9C9D">
              <a:hueOff val="0"/>
              <a:satOff val="0"/>
              <a:lumOff val="0"/>
              <a:alphaOff val="0"/>
            </a:srgbClr>
          </a:solidFill>
          <a:prstDash val="solid"/>
          <a:miter lim="800000"/>
          <a:tailEnd type="arrow"/>
        </a:ln>
        <a:effectLst/>
      </dgm:spPr>
      <dgm:t>
        <a:bodyPr/>
        <a:lstStyle/>
        <a:p>
          <a:pPr algn="ctr">
            <a:spcAft>
              <a:spcPts val="0"/>
            </a:spcAft>
            <a:buNone/>
          </a:pPr>
          <a:endParaRPr lang="pl-PL" sz="800">
            <a:solidFill>
              <a:sysClr val="windowText" lastClr="000000">
                <a:lumMod val="75000"/>
                <a:lumOff val="25000"/>
              </a:sysClr>
            </a:solidFill>
            <a:latin typeface="Century Gothic"/>
            <a:ea typeface="+mn-ea"/>
            <a:cs typeface="+mn-cs"/>
          </a:endParaRPr>
        </a:p>
      </dgm:t>
    </dgm:pt>
    <dgm:pt modelId="{2AA2F992-D948-4173-B3F9-FAFC939DB75F}">
      <dgm:prSet custT="1"/>
      <dgm:spPr>
        <a:xfrm>
          <a:off x="1520571" y="1013034"/>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spcAft>
              <a:spcPts val="0"/>
            </a:spcAft>
            <a:buNone/>
          </a:pPr>
          <a:r>
            <a:rPr lang="pl-PL" sz="800">
              <a:solidFill>
                <a:sysClr val="windowText" lastClr="000000">
                  <a:lumMod val="75000"/>
                  <a:lumOff val="25000"/>
                </a:sysClr>
              </a:solidFill>
              <a:latin typeface="Century Gothic"/>
              <a:ea typeface="+mn-ea"/>
              <a:cs typeface="+mn-cs"/>
            </a:rPr>
            <a:t>Uczestnik opłaca usługę </a:t>
          </a:r>
        </a:p>
      </dgm:t>
    </dgm:pt>
    <dgm:pt modelId="{FB379B84-9A61-4CCF-AEF2-E31FA67F9F78}" type="parTrans" cxnId="{C37F2429-856B-4FF5-AF38-264E508F1311}">
      <dgm:prSet/>
      <dgm:spPr/>
      <dgm:t>
        <a:bodyPr/>
        <a:lstStyle/>
        <a:p>
          <a:pPr>
            <a:spcAft>
              <a:spcPts val="0"/>
            </a:spcAft>
          </a:pPr>
          <a:endParaRPr lang="pl-PL">
            <a:solidFill>
              <a:schemeClr val="tx1">
                <a:lumMod val="75000"/>
                <a:lumOff val="25000"/>
              </a:schemeClr>
            </a:solidFill>
          </a:endParaRPr>
        </a:p>
      </dgm:t>
    </dgm:pt>
    <dgm:pt modelId="{F93780B9-3EA8-443E-B3CD-C283B196F1E9}" type="sibTrans" cxnId="{C37F2429-856B-4FF5-AF38-264E508F1311}">
      <dgm:prSet/>
      <dgm:spPr>
        <a:xfrm>
          <a:off x="2737989" y="1333079"/>
          <a:ext cx="249820" cy="91440"/>
        </a:xfrm>
        <a:noFill/>
        <a:ln w="6350" cap="flat" cmpd="sng" algn="ctr">
          <a:solidFill>
            <a:srgbClr val="5F9C9D">
              <a:hueOff val="0"/>
              <a:satOff val="0"/>
              <a:lumOff val="0"/>
              <a:alphaOff val="0"/>
            </a:srgbClr>
          </a:solidFill>
          <a:prstDash val="solid"/>
          <a:miter lim="800000"/>
          <a:tailEnd type="arrow"/>
        </a:ln>
        <a:effectLst/>
      </dgm:spPr>
      <dgm:t>
        <a:bodyPr/>
        <a:lstStyle/>
        <a:p>
          <a:pPr>
            <a:spcAft>
              <a:spcPts val="0"/>
            </a:spcAft>
            <a:buNone/>
          </a:pPr>
          <a:endParaRPr lang="pl-PL">
            <a:solidFill>
              <a:sysClr val="windowText" lastClr="000000">
                <a:lumMod val="75000"/>
                <a:lumOff val="25000"/>
              </a:sysClr>
            </a:solidFill>
            <a:latin typeface="Century Gothic"/>
            <a:ea typeface="+mn-ea"/>
            <a:cs typeface="+mn-cs"/>
          </a:endParaRPr>
        </a:p>
      </dgm:t>
    </dgm:pt>
    <dgm:pt modelId="{634A4A8D-DEB9-4B44-9E67-4EF05AA1F946}">
      <dgm:prSet custT="1"/>
      <dgm:spPr>
        <a:xfrm>
          <a:off x="3020210" y="1013034"/>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spcAft>
              <a:spcPts val="0"/>
            </a:spcAft>
            <a:buNone/>
          </a:pPr>
          <a:r>
            <a:rPr lang="pl-PL" sz="800">
              <a:solidFill>
                <a:sysClr val="windowText" lastClr="000000">
                  <a:lumMod val="75000"/>
                  <a:lumOff val="25000"/>
                </a:sysClr>
              </a:solidFill>
              <a:latin typeface="Century Gothic"/>
              <a:ea typeface="+mn-ea"/>
              <a:cs typeface="+mn-cs"/>
            </a:rPr>
            <a:t>Usługa zostaje zrealizowana</a:t>
          </a:r>
        </a:p>
      </dgm:t>
    </dgm:pt>
    <dgm:pt modelId="{CAB0A46C-3B72-439C-9344-1124A16CE343}" type="parTrans" cxnId="{F2A84F1D-FB4E-443F-A16D-41AA24430B9D}">
      <dgm:prSet/>
      <dgm:spPr/>
      <dgm:t>
        <a:bodyPr/>
        <a:lstStyle/>
        <a:p>
          <a:pPr>
            <a:spcAft>
              <a:spcPts val="0"/>
            </a:spcAft>
          </a:pPr>
          <a:endParaRPr lang="pl-PL">
            <a:solidFill>
              <a:schemeClr val="tx1">
                <a:lumMod val="75000"/>
                <a:lumOff val="25000"/>
              </a:schemeClr>
            </a:solidFill>
          </a:endParaRPr>
        </a:p>
      </dgm:t>
    </dgm:pt>
    <dgm:pt modelId="{15E80726-5CD5-4C6F-80EC-F24088B4C0FC}" type="sibTrans" cxnId="{F2A84F1D-FB4E-443F-A16D-41AA24430B9D}">
      <dgm:prSet/>
      <dgm:spPr>
        <a:xfrm>
          <a:off x="4237628" y="1333079"/>
          <a:ext cx="249820" cy="91440"/>
        </a:xfrm>
        <a:noFill/>
        <a:ln w="6350" cap="flat" cmpd="sng" algn="ctr">
          <a:solidFill>
            <a:srgbClr val="5F9C9D">
              <a:hueOff val="0"/>
              <a:satOff val="0"/>
              <a:lumOff val="0"/>
              <a:alphaOff val="0"/>
            </a:srgbClr>
          </a:solidFill>
          <a:prstDash val="solid"/>
          <a:miter lim="800000"/>
          <a:tailEnd type="arrow"/>
        </a:ln>
        <a:effectLst/>
      </dgm:spPr>
      <dgm:t>
        <a:bodyPr/>
        <a:lstStyle/>
        <a:p>
          <a:pPr>
            <a:spcAft>
              <a:spcPts val="0"/>
            </a:spcAft>
            <a:buNone/>
          </a:pPr>
          <a:endParaRPr lang="pl-PL">
            <a:solidFill>
              <a:sysClr val="windowText" lastClr="000000">
                <a:lumMod val="75000"/>
                <a:lumOff val="25000"/>
              </a:sysClr>
            </a:solidFill>
            <a:latin typeface="Century Gothic"/>
            <a:ea typeface="+mn-ea"/>
            <a:cs typeface="+mn-cs"/>
          </a:endParaRPr>
        </a:p>
      </dgm:t>
    </dgm:pt>
    <dgm:pt modelId="{7FC65F95-F79B-41B8-BE6A-462413372984}">
      <dgm:prSet custT="1"/>
      <dgm:spPr>
        <a:xfrm>
          <a:off x="4519849" y="1013034"/>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spcAft>
              <a:spcPts val="0"/>
            </a:spcAft>
            <a:buNone/>
          </a:pPr>
          <a:r>
            <a:rPr lang="pl-PL" sz="800">
              <a:solidFill>
                <a:sysClr val="windowText" lastClr="000000">
                  <a:lumMod val="75000"/>
                  <a:lumOff val="25000"/>
                </a:sysClr>
              </a:solidFill>
              <a:latin typeface="Century Gothic"/>
              <a:ea typeface="+mn-ea"/>
              <a:cs typeface="+mn-cs"/>
            </a:rPr>
            <a:t>Uczestnik dokonuje oceny usługi poprzez BUR</a:t>
          </a:r>
        </a:p>
      </dgm:t>
    </dgm:pt>
    <dgm:pt modelId="{9F3C9206-4437-4E8A-8250-4E2A36F57112}" type="parTrans" cxnId="{8217160D-ECDC-4EB5-88D2-65C43B78341C}">
      <dgm:prSet/>
      <dgm:spPr/>
      <dgm:t>
        <a:bodyPr/>
        <a:lstStyle/>
        <a:p>
          <a:pPr>
            <a:spcAft>
              <a:spcPts val="0"/>
            </a:spcAft>
          </a:pPr>
          <a:endParaRPr lang="pl-PL">
            <a:solidFill>
              <a:schemeClr val="tx1">
                <a:lumMod val="75000"/>
                <a:lumOff val="25000"/>
              </a:schemeClr>
            </a:solidFill>
          </a:endParaRPr>
        </a:p>
      </dgm:t>
    </dgm:pt>
    <dgm:pt modelId="{B7266C52-16F5-4E47-9915-FA68EA6F8730}" type="sibTrans" cxnId="{8217160D-ECDC-4EB5-88D2-65C43B78341C}">
      <dgm:prSet/>
      <dgm:spPr>
        <a:xfrm>
          <a:off x="630541" y="1742765"/>
          <a:ext cx="4498917" cy="249820"/>
        </a:xfrm>
        <a:noFill/>
        <a:ln w="6350" cap="flat" cmpd="sng" algn="ctr">
          <a:solidFill>
            <a:srgbClr val="5F9C9D">
              <a:hueOff val="0"/>
              <a:satOff val="0"/>
              <a:lumOff val="0"/>
              <a:alphaOff val="0"/>
            </a:srgbClr>
          </a:solidFill>
          <a:prstDash val="solid"/>
          <a:miter lim="800000"/>
          <a:tailEnd type="arrow"/>
        </a:ln>
        <a:effectLst/>
      </dgm:spPr>
      <dgm:t>
        <a:bodyPr/>
        <a:lstStyle/>
        <a:p>
          <a:pPr>
            <a:spcAft>
              <a:spcPts val="0"/>
            </a:spcAft>
            <a:buNone/>
          </a:pPr>
          <a:endParaRPr lang="pl-PL">
            <a:solidFill>
              <a:sysClr val="windowText" lastClr="000000">
                <a:lumMod val="75000"/>
                <a:lumOff val="25000"/>
              </a:sysClr>
            </a:solidFill>
            <a:latin typeface="Century Gothic"/>
            <a:ea typeface="+mn-ea"/>
            <a:cs typeface="+mn-cs"/>
          </a:endParaRPr>
        </a:p>
      </dgm:t>
    </dgm:pt>
    <dgm:pt modelId="{B0640EB2-3B8F-4C4C-8B7A-4D313051B2B0}">
      <dgm:prSet custT="1"/>
      <dgm:spPr>
        <a:xfrm>
          <a:off x="20932" y="2024985"/>
          <a:ext cx="1219218" cy="731531"/>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spcAft>
              <a:spcPts val="0"/>
            </a:spcAft>
            <a:buNone/>
          </a:pPr>
          <a:r>
            <a:rPr lang="pl-PL" sz="800">
              <a:solidFill>
                <a:sysClr val="windowText" lastClr="000000">
                  <a:lumMod val="75000"/>
                  <a:lumOff val="25000"/>
                </a:sysClr>
              </a:solidFill>
              <a:latin typeface="Century Gothic"/>
              <a:ea typeface="+mn-ea"/>
              <a:cs typeface="+mn-cs"/>
            </a:rPr>
            <a:t>Operator refunduje koszty uczestnika (do wysokości wkładu własnego) </a:t>
          </a:r>
        </a:p>
      </dgm:t>
    </dgm:pt>
    <dgm:pt modelId="{55F403B4-1BCA-4346-B73C-F06EBBC45BFC}" type="parTrans" cxnId="{B174575C-B6AA-4857-83C2-2336F94B9694}">
      <dgm:prSet/>
      <dgm:spPr/>
      <dgm:t>
        <a:bodyPr/>
        <a:lstStyle/>
        <a:p>
          <a:pPr>
            <a:spcAft>
              <a:spcPts val="0"/>
            </a:spcAft>
          </a:pPr>
          <a:endParaRPr lang="pl-PL">
            <a:solidFill>
              <a:schemeClr val="tx1">
                <a:lumMod val="75000"/>
                <a:lumOff val="25000"/>
              </a:schemeClr>
            </a:solidFill>
          </a:endParaRPr>
        </a:p>
      </dgm:t>
    </dgm:pt>
    <dgm:pt modelId="{87B74CDB-AB29-4137-825D-C5FA1BECA957}" type="sibTrans" cxnId="{B174575C-B6AA-4857-83C2-2336F94B9694}">
      <dgm:prSet/>
      <dgm:spPr/>
      <dgm:t>
        <a:bodyPr/>
        <a:lstStyle/>
        <a:p>
          <a:pPr>
            <a:spcAft>
              <a:spcPts val="0"/>
            </a:spcAft>
          </a:pPr>
          <a:endParaRPr lang="pl-PL">
            <a:solidFill>
              <a:schemeClr val="tx1">
                <a:lumMod val="75000"/>
                <a:lumOff val="25000"/>
              </a:schemeClr>
            </a:solidFill>
          </a:endParaRPr>
        </a:p>
      </dgm:t>
    </dgm:pt>
    <dgm:pt modelId="{AAE114E2-8D1A-4FEF-B3DB-E6D0CFE31DF1}" type="pres">
      <dgm:prSet presAssocID="{21B58F1A-C093-49BD-80AD-2237C0B93827}" presName="Name0" presStyleCnt="0">
        <dgm:presLayoutVars>
          <dgm:dir/>
          <dgm:resizeHandles val="exact"/>
        </dgm:presLayoutVars>
      </dgm:prSet>
      <dgm:spPr/>
      <dgm:t>
        <a:bodyPr/>
        <a:lstStyle/>
        <a:p>
          <a:endParaRPr lang="pl-PL"/>
        </a:p>
      </dgm:t>
    </dgm:pt>
    <dgm:pt modelId="{5116AAEB-09AA-445A-BF91-52FC1BE5EBBA}" type="pres">
      <dgm:prSet presAssocID="{8A51A739-DB56-4C2D-8F94-9B4A31A02C8B}" presName="node" presStyleLbl="node1" presStyleIdx="0" presStyleCnt="9">
        <dgm:presLayoutVars>
          <dgm:bulletEnabled val="1"/>
        </dgm:presLayoutVars>
      </dgm:prSet>
      <dgm:spPr>
        <a:prstGeom prst="rect">
          <a:avLst/>
        </a:prstGeom>
      </dgm:spPr>
      <dgm:t>
        <a:bodyPr/>
        <a:lstStyle/>
        <a:p>
          <a:endParaRPr lang="pl-PL"/>
        </a:p>
      </dgm:t>
    </dgm:pt>
    <dgm:pt modelId="{47DA9960-8022-4885-B8A4-DC69E117E4A9}" type="pres">
      <dgm:prSet presAssocID="{3BCAF7A9-AD4B-4002-9088-7A308F10D4CF}" presName="sibTrans" presStyleLbl="sibTrans1D1" presStyleIdx="0" presStyleCnt="8"/>
      <dgm:spPr>
        <a:custGeom>
          <a:avLst/>
          <a:gdLst/>
          <a:ahLst/>
          <a:cxnLst/>
          <a:rect l="0" t="0" r="0" b="0"/>
          <a:pathLst>
            <a:path>
              <a:moveTo>
                <a:pt x="0" y="45720"/>
              </a:moveTo>
              <a:lnTo>
                <a:pt x="217090" y="45720"/>
              </a:lnTo>
            </a:path>
          </a:pathLst>
        </a:custGeom>
      </dgm:spPr>
      <dgm:t>
        <a:bodyPr/>
        <a:lstStyle/>
        <a:p>
          <a:endParaRPr lang="pl-PL"/>
        </a:p>
      </dgm:t>
    </dgm:pt>
    <dgm:pt modelId="{9F3325F2-5F7D-40F6-A31B-55EF61D90A30}" type="pres">
      <dgm:prSet presAssocID="{3BCAF7A9-AD4B-4002-9088-7A308F10D4CF}" presName="connectorText" presStyleLbl="sibTrans1D1" presStyleIdx="0" presStyleCnt="8"/>
      <dgm:spPr/>
      <dgm:t>
        <a:bodyPr/>
        <a:lstStyle/>
        <a:p>
          <a:endParaRPr lang="pl-PL"/>
        </a:p>
      </dgm:t>
    </dgm:pt>
    <dgm:pt modelId="{BC176433-86C6-4714-954C-C2AD549F0A2C}" type="pres">
      <dgm:prSet presAssocID="{CA711396-65AC-47A3-9C01-700E24024588}" presName="node" presStyleLbl="node1" presStyleIdx="1" presStyleCnt="9">
        <dgm:presLayoutVars>
          <dgm:bulletEnabled val="1"/>
        </dgm:presLayoutVars>
      </dgm:prSet>
      <dgm:spPr>
        <a:prstGeom prst="rect">
          <a:avLst/>
        </a:prstGeom>
      </dgm:spPr>
      <dgm:t>
        <a:bodyPr/>
        <a:lstStyle/>
        <a:p>
          <a:endParaRPr lang="pl-PL"/>
        </a:p>
      </dgm:t>
    </dgm:pt>
    <dgm:pt modelId="{E381A5EF-45B0-4D75-BAC2-524C5A81FB23}" type="pres">
      <dgm:prSet presAssocID="{7FAB89F0-63F7-4D2C-91DC-DD7FABFD15AF}" presName="sibTrans" presStyleLbl="sibTrans1D1" presStyleIdx="1" presStyleCnt="8"/>
      <dgm:spPr>
        <a:custGeom>
          <a:avLst/>
          <a:gdLst/>
          <a:ahLst/>
          <a:cxnLst/>
          <a:rect l="0" t="0" r="0" b="0"/>
          <a:pathLst>
            <a:path>
              <a:moveTo>
                <a:pt x="0" y="45720"/>
              </a:moveTo>
              <a:lnTo>
                <a:pt x="225791" y="45720"/>
              </a:lnTo>
            </a:path>
          </a:pathLst>
        </a:custGeom>
      </dgm:spPr>
      <dgm:t>
        <a:bodyPr/>
        <a:lstStyle/>
        <a:p>
          <a:endParaRPr lang="pl-PL"/>
        </a:p>
      </dgm:t>
    </dgm:pt>
    <dgm:pt modelId="{43C4E9A7-B0E2-49D0-B1E0-BB952A7E81BD}" type="pres">
      <dgm:prSet presAssocID="{7FAB89F0-63F7-4D2C-91DC-DD7FABFD15AF}" presName="connectorText" presStyleLbl="sibTrans1D1" presStyleIdx="1" presStyleCnt="8"/>
      <dgm:spPr/>
      <dgm:t>
        <a:bodyPr/>
        <a:lstStyle/>
        <a:p>
          <a:endParaRPr lang="pl-PL"/>
        </a:p>
      </dgm:t>
    </dgm:pt>
    <dgm:pt modelId="{88505FE5-94B6-47D9-9F7D-12BACD25D505}" type="pres">
      <dgm:prSet presAssocID="{E46040AC-CDDA-4157-837F-9CDF26B48043}" presName="node" presStyleLbl="node1" presStyleIdx="2" presStyleCnt="9" custLinFactNeighborX="808">
        <dgm:presLayoutVars>
          <dgm:bulletEnabled val="1"/>
        </dgm:presLayoutVars>
      </dgm:prSet>
      <dgm:spPr>
        <a:prstGeom prst="rect">
          <a:avLst/>
        </a:prstGeom>
      </dgm:spPr>
      <dgm:t>
        <a:bodyPr/>
        <a:lstStyle/>
        <a:p>
          <a:endParaRPr lang="pl-PL"/>
        </a:p>
      </dgm:t>
    </dgm:pt>
    <dgm:pt modelId="{7D959D5D-73AE-4AEC-8EA5-C29C93637867}" type="pres">
      <dgm:prSet presAssocID="{9E487AA4-E6AA-4DDD-A440-B0108CD23437}" presName="sibTrans" presStyleLbl="sibTrans1D1" presStyleIdx="2" presStyleCnt="8"/>
      <dgm:spPr>
        <a:custGeom>
          <a:avLst/>
          <a:gdLst/>
          <a:ahLst/>
          <a:cxnLst/>
          <a:rect l="0" t="0" r="0" b="0"/>
          <a:pathLst>
            <a:path>
              <a:moveTo>
                <a:pt x="0" y="45720"/>
              </a:moveTo>
              <a:lnTo>
                <a:pt x="208388" y="45720"/>
              </a:lnTo>
            </a:path>
          </a:pathLst>
        </a:custGeom>
      </dgm:spPr>
      <dgm:t>
        <a:bodyPr/>
        <a:lstStyle/>
        <a:p>
          <a:endParaRPr lang="pl-PL"/>
        </a:p>
      </dgm:t>
    </dgm:pt>
    <dgm:pt modelId="{9F2F7511-8B82-496D-A1A3-81815594B492}" type="pres">
      <dgm:prSet presAssocID="{9E487AA4-E6AA-4DDD-A440-B0108CD23437}" presName="connectorText" presStyleLbl="sibTrans1D1" presStyleIdx="2" presStyleCnt="8"/>
      <dgm:spPr/>
      <dgm:t>
        <a:bodyPr/>
        <a:lstStyle/>
        <a:p>
          <a:endParaRPr lang="pl-PL"/>
        </a:p>
      </dgm:t>
    </dgm:pt>
    <dgm:pt modelId="{1B5A1223-2CF7-46EA-BBC0-83517119EA6B}" type="pres">
      <dgm:prSet presAssocID="{AAD1F0B1-C37B-4F2A-A79F-8A9B31304762}" presName="node" presStyleLbl="node1" presStyleIdx="3" presStyleCnt="9">
        <dgm:presLayoutVars>
          <dgm:bulletEnabled val="1"/>
        </dgm:presLayoutVars>
      </dgm:prSet>
      <dgm:spPr>
        <a:prstGeom prst="rect">
          <a:avLst/>
        </a:prstGeom>
      </dgm:spPr>
      <dgm:t>
        <a:bodyPr/>
        <a:lstStyle/>
        <a:p>
          <a:endParaRPr lang="pl-PL"/>
        </a:p>
      </dgm:t>
    </dgm:pt>
    <dgm:pt modelId="{008F0687-D7F2-4342-969A-2ED93B82267A}" type="pres">
      <dgm:prSet presAssocID="{249749DC-3976-459E-A867-83A5C6855AF2}" presName="sibTrans" presStyleLbl="sibTrans1D1" presStyleIdx="3" presStyleCnt="8"/>
      <dgm:spPr>
        <a:custGeom>
          <a:avLst/>
          <a:gdLst/>
          <a:ahLst/>
          <a:cxnLst/>
          <a:rect l="0" t="0" r="0" b="0"/>
          <a:pathLst>
            <a:path>
              <a:moveTo>
                <a:pt x="3973812" y="0"/>
              </a:moveTo>
              <a:lnTo>
                <a:pt x="3973812" y="120889"/>
              </a:lnTo>
              <a:lnTo>
                <a:pt x="0" y="120889"/>
              </a:lnTo>
              <a:lnTo>
                <a:pt x="0" y="207578"/>
              </a:lnTo>
            </a:path>
          </a:pathLst>
        </a:custGeom>
      </dgm:spPr>
      <dgm:t>
        <a:bodyPr/>
        <a:lstStyle/>
        <a:p>
          <a:endParaRPr lang="pl-PL"/>
        </a:p>
      </dgm:t>
    </dgm:pt>
    <dgm:pt modelId="{D56CF2AD-2449-4C0A-BDCF-F7DF993339EF}" type="pres">
      <dgm:prSet presAssocID="{249749DC-3976-459E-A867-83A5C6855AF2}" presName="connectorText" presStyleLbl="sibTrans1D1" presStyleIdx="3" presStyleCnt="8"/>
      <dgm:spPr/>
      <dgm:t>
        <a:bodyPr/>
        <a:lstStyle/>
        <a:p>
          <a:endParaRPr lang="pl-PL"/>
        </a:p>
      </dgm:t>
    </dgm:pt>
    <dgm:pt modelId="{5A80C465-5BED-40EE-81C6-13F9281B6074}" type="pres">
      <dgm:prSet presAssocID="{915FE940-859B-44E2-BD0F-224CA14A2F07}" presName="node" presStyleLbl="node1" presStyleIdx="4" presStyleCnt="9" custLinFactNeighborY="-1472">
        <dgm:presLayoutVars>
          <dgm:bulletEnabled val="1"/>
        </dgm:presLayoutVars>
      </dgm:prSet>
      <dgm:spPr>
        <a:prstGeom prst="rect">
          <a:avLst/>
        </a:prstGeom>
      </dgm:spPr>
      <dgm:t>
        <a:bodyPr/>
        <a:lstStyle/>
        <a:p>
          <a:endParaRPr lang="pl-PL"/>
        </a:p>
      </dgm:t>
    </dgm:pt>
    <dgm:pt modelId="{F13D9DCC-55A6-4C5A-8EA2-A4F0D45B1FFE}" type="pres">
      <dgm:prSet presAssocID="{4AD67B6E-71A8-456E-959F-E8FF64566BD3}" presName="sibTrans" presStyleLbl="sibTrans1D1" presStyleIdx="4" presStyleCnt="8"/>
      <dgm:spPr>
        <a:custGeom>
          <a:avLst/>
          <a:gdLst/>
          <a:ahLst/>
          <a:cxnLst/>
          <a:rect l="0" t="0" r="0" b="0"/>
          <a:pathLst>
            <a:path>
              <a:moveTo>
                <a:pt x="0" y="45720"/>
              </a:moveTo>
              <a:lnTo>
                <a:pt x="125645" y="45720"/>
              </a:lnTo>
              <a:lnTo>
                <a:pt x="125645" y="55231"/>
              </a:lnTo>
              <a:lnTo>
                <a:pt x="217090" y="55231"/>
              </a:lnTo>
            </a:path>
          </a:pathLst>
        </a:custGeom>
      </dgm:spPr>
      <dgm:t>
        <a:bodyPr/>
        <a:lstStyle/>
        <a:p>
          <a:endParaRPr lang="pl-PL"/>
        </a:p>
      </dgm:t>
    </dgm:pt>
    <dgm:pt modelId="{ED3FFB9D-BF67-4B05-9531-3A1BE5B6F1AA}" type="pres">
      <dgm:prSet presAssocID="{4AD67B6E-71A8-456E-959F-E8FF64566BD3}" presName="connectorText" presStyleLbl="sibTrans1D1" presStyleIdx="4" presStyleCnt="8"/>
      <dgm:spPr/>
      <dgm:t>
        <a:bodyPr/>
        <a:lstStyle/>
        <a:p>
          <a:endParaRPr lang="pl-PL"/>
        </a:p>
      </dgm:t>
    </dgm:pt>
    <dgm:pt modelId="{FC7FC0A1-948D-4AF5-A11A-F11E01CEB6E6}" type="pres">
      <dgm:prSet presAssocID="{2AA2F992-D948-4173-B3F9-FAFC939DB75F}" presName="node" presStyleLbl="node1" presStyleIdx="5" presStyleCnt="9">
        <dgm:presLayoutVars>
          <dgm:bulletEnabled val="1"/>
        </dgm:presLayoutVars>
      </dgm:prSet>
      <dgm:spPr>
        <a:prstGeom prst="rect">
          <a:avLst/>
        </a:prstGeom>
      </dgm:spPr>
      <dgm:t>
        <a:bodyPr/>
        <a:lstStyle/>
        <a:p>
          <a:endParaRPr lang="pl-PL"/>
        </a:p>
      </dgm:t>
    </dgm:pt>
    <dgm:pt modelId="{7CF346BE-2EB6-4EEB-9437-36367447B014}" type="pres">
      <dgm:prSet presAssocID="{F93780B9-3EA8-443E-B3CD-C283B196F1E9}" presName="sibTrans" presStyleLbl="sibTrans1D1" presStyleIdx="5" presStyleCnt="8"/>
      <dgm:spPr>
        <a:custGeom>
          <a:avLst/>
          <a:gdLst/>
          <a:ahLst/>
          <a:cxnLst/>
          <a:rect l="0" t="0" r="0" b="0"/>
          <a:pathLst>
            <a:path>
              <a:moveTo>
                <a:pt x="0" y="45720"/>
              </a:moveTo>
              <a:lnTo>
                <a:pt x="217090" y="45720"/>
              </a:lnTo>
            </a:path>
          </a:pathLst>
        </a:custGeom>
      </dgm:spPr>
      <dgm:t>
        <a:bodyPr/>
        <a:lstStyle/>
        <a:p>
          <a:endParaRPr lang="pl-PL"/>
        </a:p>
      </dgm:t>
    </dgm:pt>
    <dgm:pt modelId="{C328C258-5B03-488D-BB8B-D7110ED24841}" type="pres">
      <dgm:prSet presAssocID="{F93780B9-3EA8-443E-B3CD-C283B196F1E9}" presName="connectorText" presStyleLbl="sibTrans1D1" presStyleIdx="5" presStyleCnt="8"/>
      <dgm:spPr/>
      <dgm:t>
        <a:bodyPr/>
        <a:lstStyle/>
        <a:p>
          <a:endParaRPr lang="pl-PL"/>
        </a:p>
      </dgm:t>
    </dgm:pt>
    <dgm:pt modelId="{5760CDF3-73E3-4718-816C-2BE98E7D85D1}" type="pres">
      <dgm:prSet presAssocID="{634A4A8D-DEB9-4B44-9E67-4EF05AA1F946}" presName="node" presStyleLbl="node1" presStyleIdx="6" presStyleCnt="9">
        <dgm:presLayoutVars>
          <dgm:bulletEnabled val="1"/>
        </dgm:presLayoutVars>
      </dgm:prSet>
      <dgm:spPr>
        <a:prstGeom prst="rect">
          <a:avLst/>
        </a:prstGeom>
      </dgm:spPr>
      <dgm:t>
        <a:bodyPr/>
        <a:lstStyle/>
        <a:p>
          <a:endParaRPr lang="pl-PL"/>
        </a:p>
      </dgm:t>
    </dgm:pt>
    <dgm:pt modelId="{8742AD7B-A92F-4600-B729-3721561595D5}" type="pres">
      <dgm:prSet presAssocID="{15E80726-5CD5-4C6F-80EC-F24088B4C0FC}" presName="sibTrans" presStyleLbl="sibTrans1D1" presStyleIdx="6" presStyleCnt="8"/>
      <dgm:spPr>
        <a:custGeom>
          <a:avLst/>
          <a:gdLst/>
          <a:ahLst/>
          <a:cxnLst/>
          <a:rect l="0" t="0" r="0" b="0"/>
          <a:pathLst>
            <a:path>
              <a:moveTo>
                <a:pt x="0" y="45720"/>
              </a:moveTo>
              <a:lnTo>
                <a:pt x="217090" y="45720"/>
              </a:lnTo>
            </a:path>
          </a:pathLst>
        </a:custGeom>
      </dgm:spPr>
      <dgm:t>
        <a:bodyPr/>
        <a:lstStyle/>
        <a:p>
          <a:endParaRPr lang="pl-PL"/>
        </a:p>
      </dgm:t>
    </dgm:pt>
    <dgm:pt modelId="{6B1D3AF5-9A21-4231-A8AC-AE288B1960E2}" type="pres">
      <dgm:prSet presAssocID="{15E80726-5CD5-4C6F-80EC-F24088B4C0FC}" presName="connectorText" presStyleLbl="sibTrans1D1" presStyleIdx="6" presStyleCnt="8"/>
      <dgm:spPr/>
      <dgm:t>
        <a:bodyPr/>
        <a:lstStyle/>
        <a:p>
          <a:endParaRPr lang="pl-PL"/>
        </a:p>
      </dgm:t>
    </dgm:pt>
    <dgm:pt modelId="{D02A59D6-8A5F-45D3-8B57-102379EB4237}" type="pres">
      <dgm:prSet presAssocID="{7FC65F95-F79B-41B8-BE6A-462413372984}" presName="node" presStyleLbl="node1" presStyleIdx="7" presStyleCnt="9">
        <dgm:presLayoutVars>
          <dgm:bulletEnabled val="1"/>
        </dgm:presLayoutVars>
      </dgm:prSet>
      <dgm:spPr>
        <a:prstGeom prst="rect">
          <a:avLst/>
        </a:prstGeom>
      </dgm:spPr>
      <dgm:t>
        <a:bodyPr/>
        <a:lstStyle/>
        <a:p>
          <a:endParaRPr lang="pl-PL"/>
        </a:p>
      </dgm:t>
    </dgm:pt>
    <dgm:pt modelId="{999F8EE4-9AA9-4946-A755-9EB8271AFE1A}" type="pres">
      <dgm:prSet presAssocID="{B7266C52-16F5-4E47-9915-FA68EA6F8730}" presName="sibTrans" presStyleLbl="sibTrans1D1" presStyleIdx="7" presStyleCnt="8"/>
      <dgm:spPr>
        <a:custGeom>
          <a:avLst/>
          <a:gdLst/>
          <a:ahLst/>
          <a:cxnLst/>
          <a:rect l="0" t="0" r="0" b="0"/>
          <a:pathLst>
            <a:path>
              <a:moveTo>
                <a:pt x="3973812" y="0"/>
              </a:moveTo>
              <a:lnTo>
                <a:pt x="3973812" y="125645"/>
              </a:lnTo>
              <a:lnTo>
                <a:pt x="0" y="125645"/>
              </a:lnTo>
              <a:lnTo>
                <a:pt x="0" y="217090"/>
              </a:lnTo>
            </a:path>
          </a:pathLst>
        </a:custGeom>
      </dgm:spPr>
      <dgm:t>
        <a:bodyPr/>
        <a:lstStyle/>
        <a:p>
          <a:endParaRPr lang="pl-PL"/>
        </a:p>
      </dgm:t>
    </dgm:pt>
    <dgm:pt modelId="{07E447A6-7A0C-44D9-984A-98D04283CBDB}" type="pres">
      <dgm:prSet presAssocID="{B7266C52-16F5-4E47-9915-FA68EA6F8730}" presName="connectorText" presStyleLbl="sibTrans1D1" presStyleIdx="7" presStyleCnt="8"/>
      <dgm:spPr/>
      <dgm:t>
        <a:bodyPr/>
        <a:lstStyle/>
        <a:p>
          <a:endParaRPr lang="pl-PL"/>
        </a:p>
      </dgm:t>
    </dgm:pt>
    <dgm:pt modelId="{CCA88960-5EB3-4D31-BB2E-8942F3BA371F}" type="pres">
      <dgm:prSet presAssocID="{B0640EB2-3B8F-4C4C-8B7A-4D313051B2B0}" presName="node" presStyleLbl="node1" presStyleIdx="8" presStyleCnt="9">
        <dgm:presLayoutVars>
          <dgm:bulletEnabled val="1"/>
        </dgm:presLayoutVars>
      </dgm:prSet>
      <dgm:spPr>
        <a:prstGeom prst="rect">
          <a:avLst/>
        </a:prstGeom>
      </dgm:spPr>
      <dgm:t>
        <a:bodyPr/>
        <a:lstStyle/>
        <a:p>
          <a:endParaRPr lang="pl-PL"/>
        </a:p>
      </dgm:t>
    </dgm:pt>
  </dgm:ptLst>
  <dgm:cxnLst>
    <dgm:cxn modelId="{4C1E212F-F9B9-45AA-984F-F7D810E084ED}" type="presOf" srcId="{915FE940-859B-44E2-BD0F-224CA14A2F07}" destId="{5A80C465-5BED-40EE-81C6-13F9281B6074}" srcOrd="0" destOrd="0" presId="urn:microsoft.com/office/officeart/2005/8/layout/bProcess3"/>
    <dgm:cxn modelId="{6A3CD53E-1181-449E-A3E5-F7613EA929FF}" type="presOf" srcId="{8A51A739-DB56-4C2D-8F94-9B4A31A02C8B}" destId="{5116AAEB-09AA-445A-BF91-52FC1BE5EBBA}" srcOrd="0" destOrd="0" presId="urn:microsoft.com/office/officeart/2005/8/layout/bProcess3"/>
    <dgm:cxn modelId="{401B8F46-BD1D-4ECC-99B1-79D82CA50FC7}" type="presOf" srcId="{3BCAF7A9-AD4B-4002-9088-7A308F10D4CF}" destId="{9F3325F2-5F7D-40F6-A31B-55EF61D90A30}" srcOrd="1" destOrd="0" presId="urn:microsoft.com/office/officeart/2005/8/layout/bProcess3"/>
    <dgm:cxn modelId="{F1BA3B27-46CD-458F-A4E9-04C70D2DA176}" type="presOf" srcId="{E46040AC-CDDA-4157-837F-9CDF26B48043}" destId="{88505FE5-94B6-47D9-9F7D-12BACD25D505}" srcOrd="0" destOrd="0" presId="urn:microsoft.com/office/officeart/2005/8/layout/bProcess3"/>
    <dgm:cxn modelId="{F2A84F1D-FB4E-443F-A16D-41AA24430B9D}" srcId="{21B58F1A-C093-49BD-80AD-2237C0B93827}" destId="{634A4A8D-DEB9-4B44-9E67-4EF05AA1F946}" srcOrd="6" destOrd="0" parTransId="{CAB0A46C-3B72-439C-9344-1124A16CE343}" sibTransId="{15E80726-5CD5-4C6F-80EC-F24088B4C0FC}"/>
    <dgm:cxn modelId="{C37F2429-856B-4FF5-AF38-264E508F1311}" srcId="{21B58F1A-C093-49BD-80AD-2237C0B93827}" destId="{2AA2F992-D948-4173-B3F9-FAFC939DB75F}" srcOrd="5" destOrd="0" parTransId="{FB379B84-9A61-4CCF-AEF2-E31FA67F9F78}" sibTransId="{F93780B9-3EA8-443E-B3CD-C283B196F1E9}"/>
    <dgm:cxn modelId="{FE19A87D-DE50-4764-B28B-D802A05AD240}" type="presOf" srcId="{9E487AA4-E6AA-4DDD-A440-B0108CD23437}" destId="{7D959D5D-73AE-4AEC-8EA5-C29C93637867}" srcOrd="0" destOrd="0" presId="urn:microsoft.com/office/officeart/2005/8/layout/bProcess3"/>
    <dgm:cxn modelId="{BF337548-2E4D-4810-9226-2892D07AFB32}" type="presOf" srcId="{7FC65F95-F79B-41B8-BE6A-462413372984}" destId="{D02A59D6-8A5F-45D3-8B57-102379EB4237}" srcOrd="0" destOrd="0" presId="urn:microsoft.com/office/officeart/2005/8/layout/bProcess3"/>
    <dgm:cxn modelId="{B2D72E7C-1AE3-4A18-958D-EA95CF5D7904}" type="presOf" srcId="{B7266C52-16F5-4E47-9915-FA68EA6F8730}" destId="{999F8EE4-9AA9-4946-A755-9EB8271AFE1A}" srcOrd="0" destOrd="0" presId="urn:microsoft.com/office/officeart/2005/8/layout/bProcess3"/>
    <dgm:cxn modelId="{FA587F15-4D89-4CE2-906D-5771E164C344}" type="presOf" srcId="{21B58F1A-C093-49BD-80AD-2237C0B93827}" destId="{AAE114E2-8D1A-4FEF-B3DB-E6D0CFE31DF1}" srcOrd="0" destOrd="0" presId="urn:microsoft.com/office/officeart/2005/8/layout/bProcess3"/>
    <dgm:cxn modelId="{B5159D18-93B5-44F9-BF03-34812950847D}" type="presOf" srcId="{3BCAF7A9-AD4B-4002-9088-7A308F10D4CF}" destId="{47DA9960-8022-4885-B8A4-DC69E117E4A9}" srcOrd="0" destOrd="0" presId="urn:microsoft.com/office/officeart/2005/8/layout/bProcess3"/>
    <dgm:cxn modelId="{DD261488-6003-4A49-9922-C8872ABE06CA}" srcId="{21B58F1A-C093-49BD-80AD-2237C0B93827}" destId="{915FE940-859B-44E2-BD0F-224CA14A2F07}" srcOrd="4" destOrd="0" parTransId="{42120863-074F-4C53-9FA5-08CE2A112473}" sibTransId="{4AD67B6E-71A8-456E-959F-E8FF64566BD3}"/>
    <dgm:cxn modelId="{9827E4A2-0709-4C04-8683-67E123ADBCB4}" srcId="{21B58F1A-C093-49BD-80AD-2237C0B93827}" destId="{AAD1F0B1-C37B-4F2A-A79F-8A9B31304762}" srcOrd="3" destOrd="0" parTransId="{066D36F2-87C7-446C-A230-CDBDC82DAA96}" sibTransId="{249749DC-3976-459E-A867-83A5C6855AF2}"/>
    <dgm:cxn modelId="{9DDBA5C6-4053-499A-BE08-31B0919524D2}" type="presOf" srcId="{15E80726-5CD5-4C6F-80EC-F24088B4C0FC}" destId="{6B1D3AF5-9A21-4231-A8AC-AE288B1960E2}" srcOrd="1" destOrd="0" presId="urn:microsoft.com/office/officeart/2005/8/layout/bProcess3"/>
    <dgm:cxn modelId="{AF4C6921-FAB0-4878-BBF2-64E072EB37FA}" type="presOf" srcId="{7FAB89F0-63F7-4D2C-91DC-DD7FABFD15AF}" destId="{E381A5EF-45B0-4D75-BAC2-524C5A81FB23}" srcOrd="0" destOrd="0" presId="urn:microsoft.com/office/officeart/2005/8/layout/bProcess3"/>
    <dgm:cxn modelId="{DC2C9757-93FC-4DB5-BDF1-F4D08EA2AB16}" type="presOf" srcId="{2AA2F992-D948-4173-B3F9-FAFC939DB75F}" destId="{FC7FC0A1-948D-4AF5-A11A-F11E01CEB6E6}" srcOrd="0" destOrd="0" presId="urn:microsoft.com/office/officeart/2005/8/layout/bProcess3"/>
    <dgm:cxn modelId="{C77154DB-8B08-47F1-A1C3-659482509BD3}" type="presOf" srcId="{CA711396-65AC-47A3-9C01-700E24024588}" destId="{BC176433-86C6-4714-954C-C2AD549F0A2C}" srcOrd="0" destOrd="0" presId="urn:microsoft.com/office/officeart/2005/8/layout/bProcess3"/>
    <dgm:cxn modelId="{5514CA7A-DFB1-49E9-B150-6986DC723378}" type="presOf" srcId="{634A4A8D-DEB9-4B44-9E67-4EF05AA1F946}" destId="{5760CDF3-73E3-4718-816C-2BE98E7D85D1}" srcOrd="0" destOrd="0" presId="urn:microsoft.com/office/officeart/2005/8/layout/bProcess3"/>
    <dgm:cxn modelId="{56DC74B8-2951-417A-807D-8E27F4A07994}" type="presOf" srcId="{F93780B9-3EA8-443E-B3CD-C283B196F1E9}" destId="{7CF346BE-2EB6-4EEB-9437-36367447B014}" srcOrd="0" destOrd="0" presId="urn:microsoft.com/office/officeart/2005/8/layout/bProcess3"/>
    <dgm:cxn modelId="{9856F2D8-517E-4BA0-B946-517FC19009A7}" type="presOf" srcId="{249749DC-3976-459E-A867-83A5C6855AF2}" destId="{008F0687-D7F2-4342-969A-2ED93B82267A}" srcOrd="0" destOrd="0" presId="urn:microsoft.com/office/officeart/2005/8/layout/bProcess3"/>
    <dgm:cxn modelId="{7950AB74-A6F6-45EF-9815-1FFBFFAF733D}" srcId="{21B58F1A-C093-49BD-80AD-2237C0B93827}" destId="{CA711396-65AC-47A3-9C01-700E24024588}" srcOrd="1" destOrd="0" parTransId="{67E08EA1-F2AE-4777-9E48-62C6857FD051}" sibTransId="{7FAB89F0-63F7-4D2C-91DC-DD7FABFD15AF}"/>
    <dgm:cxn modelId="{9B9D9D4E-7EB6-42BC-A858-6BC3FC6374EA}" type="presOf" srcId="{7FAB89F0-63F7-4D2C-91DC-DD7FABFD15AF}" destId="{43C4E9A7-B0E2-49D0-B1E0-BB952A7E81BD}" srcOrd="1" destOrd="0" presId="urn:microsoft.com/office/officeart/2005/8/layout/bProcess3"/>
    <dgm:cxn modelId="{B174575C-B6AA-4857-83C2-2336F94B9694}" srcId="{21B58F1A-C093-49BD-80AD-2237C0B93827}" destId="{B0640EB2-3B8F-4C4C-8B7A-4D313051B2B0}" srcOrd="8" destOrd="0" parTransId="{55F403B4-1BCA-4346-B73C-F06EBBC45BFC}" sibTransId="{87B74CDB-AB29-4137-825D-C5FA1BECA957}"/>
    <dgm:cxn modelId="{885A9C0C-34E7-4A4A-9DDF-21FB45F89D44}" type="presOf" srcId="{F93780B9-3EA8-443E-B3CD-C283B196F1E9}" destId="{C328C258-5B03-488D-BB8B-D7110ED24841}" srcOrd="1" destOrd="0" presId="urn:microsoft.com/office/officeart/2005/8/layout/bProcess3"/>
    <dgm:cxn modelId="{BDC22999-8895-45CC-9835-878EC087FDE9}" type="presOf" srcId="{15E80726-5CD5-4C6F-80EC-F24088B4C0FC}" destId="{8742AD7B-A92F-4600-B729-3721561595D5}" srcOrd="0" destOrd="0" presId="urn:microsoft.com/office/officeart/2005/8/layout/bProcess3"/>
    <dgm:cxn modelId="{8217160D-ECDC-4EB5-88D2-65C43B78341C}" srcId="{21B58F1A-C093-49BD-80AD-2237C0B93827}" destId="{7FC65F95-F79B-41B8-BE6A-462413372984}" srcOrd="7" destOrd="0" parTransId="{9F3C9206-4437-4E8A-8250-4E2A36F57112}" sibTransId="{B7266C52-16F5-4E47-9915-FA68EA6F8730}"/>
    <dgm:cxn modelId="{AB0B4C25-1643-457D-BC63-0EE29242D935}" srcId="{21B58F1A-C093-49BD-80AD-2237C0B93827}" destId="{8A51A739-DB56-4C2D-8F94-9B4A31A02C8B}" srcOrd="0" destOrd="0" parTransId="{5A66EB1D-2EE5-410C-9E06-D7ED38D400C7}" sibTransId="{3BCAF7A9-AD4B-4002-9088-7A308F10D4CF}"/>
    <dgm:cxn modelId="{50DA009D-7F4D-4CF1-A77A-8B6CD1D5074A}" type="presOf" srcId="{B7266C52-16F5-4E47-9915-FA68EA6F8730}" destId="{07E447A6-7A0C-44D9-984A-98D04283CBDB}" srcOrd="1" destOrd="0" presId="urn:microsoft.com/office/officeart/2005/8/layout/bProcess3"/>
    <dgm:cxn modelId="{5ADBABF4-6BF0-4C03-8CEB-6DABCF9F95FD}" type="presOf" srcId="{B0640EB2-3B8F-4C4C-8B7A-4D313051B2B0}" destId="{CCA88960-5EB3-4D31-BB2E-8942F3BA371F}" srcOrd="0" destOrd="0" presId="urn:microsoft.com/office/officeart/2005/8/layout/bProcess3"/>
    <dgm:cxn modelId="{3FFA8A54-8498-4AF6-A6CB-585184D6F435}" type="presOf" srcId="{AAD1F0B1-C37B-4F2A-A79F-8A9B31304762}" destId="{1B5A1223-2CF7-46EA-BBC0-83517119EA6B}" srcOrd="0" destOrd="0" presId="urn:microsoft.com/office/officeart/2005/8/layout/bProcess3"/>
    <dgm:cxn modelId="{33028E05-BA6D-414C-B664-04C17491BF05}" type="presOf" srcId="{4AD67B6E-71A8-456E-959F-E8FF64566BD3}" destId="{F13D9DCC-55A6-4C5A-8EA2-A4F0D45B1FFE}" srcOrd="0" destOrd="0" presId="urn:microsoft.com/office/officeart/2005/8/layout/bProcess3"/>
    <dgm:cxn modelId="{036D0536-A7DF-4176-9514-95B7279F723B}" type="presOf" srcId="{9E487AA4-E6AA-4DDD-A440-B0108CD23437}" destId="{9F2F7511-8B82-496D-A1A3-81815594B492}" srcOrd="1" destOrd="0" presId="urn:microsoft.com/office/officeart/2005/8/layout/bProcess3"/>
    <dgm:cxn modelId="{FD9A3BD0-9CE7-478C-99A4-AB9A27DB6633}" type="presOf" srcId="{249749DC-3976-459E-A867-83A5C6855AF2}" destId="{D56CF2AD-2449-4C0A-BDCF-F7DF993339EF}" srcOrd="1" destOrd="0" presId="urn:microsoft.com/office/officeart/2005/8/layout/bProcess3"/>
    <dgm:cxn modelId="{B8BC25E4-5DC6-40E4-9E61-FF76ECD092B9}" type="presOf" srcId="{4AD67B6E-71A8-456E-959F-E8FF64566BD3}" destId="{ED3FFB9D-BF67-4B05-9531-3A1BE5B6F1AA}" srcOrd="1" destOrd="0" presId="urn:microsoft.com/office/officeart/2005/8/layout/bProcess3"/>
    <dgm:cxn modelId="{E6E6635E-1E4D-411C-88B9-FDFD3D762601}" srcId="{21B58F1A-C093-49BD-80AD-2237C0B93827}" destId="{E46040AC-CDDA-4157-837F-9CDF26B48043}" srcOrd="2" destOrd="0" parTransId="{973EF31E-177F-4612-B1A1-A49F12BE73DD}" sibTransId="{9E487AA4-E6AA-4DDD-A440-B0108CD23437}"/>
    <dgm:cxn modelId="{B7F00B98-48CA-4896-8373-D345F9F9D528}" type="presParOf" srcId="{AAE114E2-8D1A-4FEF-B3DB-E6D0CFE31DF1}" destId="{5116AAEB-09AA-445A-BF91-52FC1BE5EBBA}" srcOrd="0" destOrd="0" presId="urn:microsoft.com/office/officeart/2005/8/layout/bProcess3"/>
    <dgm:cxn modelId="{7F06C0BB-FE72-40E7-913D-6562DC72050F}" type="presParOf" srcId="{AAE114E2-8D1A-4FEF-B3DB-E6D0CFE31DF1}" destId="{47DA9960-8022-4885-B8A4-DC69E117E4A9}" srcOrd="1" destOrd="0" presId="urn:microsoft.com/office/officeart/2005/8/layout/bProcess3"/>
    <dgm:cxn modelId="{45FDE53C-FE68-49EA-A2E8-434EEF3E591A}" type="presParOf" srcId="{47DA9960-8022-4885-B8A4-DC69E117E4A9}" destId="{9F3325F2-5F7D-40F6-A31B-55EF61D90A30}" srcOrd="0" destOrd="0" presId="urn:microsoft.com/office/officeart/2005/8/layout/bProcess3"/>
    <dgm:cxn modelId="{C561BCFB-F070-4C52-8824-DEA77763AED5}" type="presParOf" srcId="{AAE114E2-8D1A-4FEF-B3DB-E6D0CFE31DF1}" destId="{BC176433-86C6-4714-954C-C2AD549F0A2C}" srcOrd="2" destOrd="0" presId="urn:microsoft.com/office/officeart/2005/8/layout/bProcess3"/>
    <dgm:cxn modelId="{4F04163A-44FB-4F63-87F8-0B7E1E35EECF}" type="presParOf" srcId="{AAE114E2-8D1A-4FEF-B3DB-E6D0CFE31DF1}" destId="{E381A5EF-45B0-4D75-BAC2-524C5A81FB23}" srcOrd="3" destOrd="0" presId="urn:microsoft.com/office/officeart/2005/8/layout/bProcess3"/>
    <dgm:cxn modelId="{A0CAD9E9-3C55-493C-B3E8-FAAB3BB0341F}" type="presParOf" srcId="{E381A5EF-45B0-4D75-BAC2-524C5A81FB23}" destId="{43C4E9A7-B0E2-49D0-B1E0-BB952A7E81BD}" srcOrd="0" destOrd="0" presId="urn:microsoft.com/office/officeart/2005/8/layout/bProcess3"/>
    <dgm:cxn modelId="{BA537E1D-7F42-4A5A-BDD3-2A492EB315E4}" type="presParOf" srcId="{AAE114E2-8D1A-4FEF-B3DB-E6D0CFE31DF1}" destId="{88505FE5-94B6-47D9-9F7D-12BACD25D505}" srcOrd="4" destOrd="0" presId="urn:microsoft.com/office/officeart/2005/8/layout/bProcess3"/>
    <dgm:cxn modelId="{AB0F48E3-F668-4495-97E7-F5209D4816FA}" type="presParOf" srcId="{AAE114E2-8D1A-4FEF-B3DB-E6D0CFE31DF1}" destId="{7D959D5D-73AE-4AEC-8EA5-C29C93637867}" srcOrd="5" destOrd="0" presId="urn:microsoft.com/office/officeart/2005/8/layout/bProcess3"/>
    <dgm:cxn modelId="{52240F4A-77A2-46D9-935B-5619A9C8EFEB}" type="presParOf" srcId="{7D959D5D-73AE-4AEC-8EA5-C29C93637867}" destId="{9F2F7511-8B82-496D-A1A3-81815594B492}" srcOrd="0" destOrd="0" presId="urn:microsoft.com/office/officeart/2005/8/layout/bProcess3"/>
    <dgm:cxn modelId="{C68E8702-3CF8-4435-AF1E-738420C1E528}" type="presParOf" srcId="{AAE114E2-8D1A-4FEF-B3DB-E6D0CFE31DF1}" destId="{1B5A1223-2CF7-46EA-BBC0-83517119EA6B}" srcOrd="6" destOrd="0" presId="urn:microsoft.com/office/officeart/2005/8/layout/bProcess3"/>
    <dgm:cxn modelId="{8F47E342-A7DB-446C-BA23-505A9B770152}" type="presParOf" srcId="{AAE114E2-8D1A-4FEF-B3DB-E6D0CFE31DF1}" destId="{008F0687-D7F2-4342-969A-2ED93B82267A}" srcOrd="7" destOrd="0" presId="urn:microsoft.com/office/officeart/2005/8/layout/bProcess3"/>
    <dgm:cxn modelId="{C8947EE1-47A2-4B28-99AD-AD34D5A4ED2B}" type="presParOf" srcId="{008F0687-D7F2-4342-969A-2ED93B82267A}" destId="{D56CF2AD-2449-4C0A-BDCF-F7DF993339EF}" srcOrd="0" destOrd="0" presId="urn:microsoft.com/office/officeart/2005/8/layout/bProcess3"/>
    <dgm:cxn modelId="{BAC67032-D482-49C9-B6C2-8C84D19BB8E1}" type="presParOf" srcId="{AAE114E2-8D1A-4FEF-B3DB-E6D0CFE31DF1}" destId="{5A80C465-5BED-40EE-81C6-13F9281B6074}" srcOrd="8" destOrd="0" presId="urn:microsoft.com/office/officeart/2005/8/layout/bProcess3"/>
    <dgm:cxn modelId="{2E249B83-ADC7-4F76-95FD-AD628BF92135}" type="presParOf" srcId="{AAE114E2-8D1A-4FEF-B3DB-E6D0CFE31DF1}" destId="{F13D9DCC-55A6-4C5A-8EA2-A4F0D45B1FFE}" srcOrd="9" destOrd="0" presId="urn:microsoft.com/office/officeart/2005/8/layout/bProcess3"/>
    <dgm:cxn modelId="{F689EBB8-9C95-4C11-A78E-EB95E336A6E5}" type="presParOf" srcId="{F13D9DCC-55A6-4C5A-8EA2-A4F0D45B1FFE}" destId="{ED3FFB9D-BF67-4B05-9531-3A1BE5B6F1AA}" srcOrd="0" destOrd="0" presId="urn:microsoft.com/office/officeart/2005/8/layout/bProcess3"/>
    <dgm:cxn modelId="{47C33340-2C2F-48C8-B4B6-1AF096B30AF4}" type="presParOf" srcId="{AAE114E2-8D1A-4FEF-B3DB-E6D0CFE31DF1}" destId="{FC7FC0A1-948D-4AF5-A11A-F11E01CEB6E6}" srcOrd="10" destOrd="0" presId="urn:microsoft.com/office/officeart/2005/8/layout/bProcess3"/>
    <dgm:cxn modelId="{43ED6066-4002-491E-A83B-723E9391319E}" type="presParOf" srcId="{AAE114E2-8D1A-4FEF-B3DB-E6D0CFE31DF1}" destId="{7CF346BE-2EB6-4EEB-9437-36367447B014}" srcOrd="11" destOrd="0" presId="urn:microsoft.com/office/officeart/2005/8/layout/bProcess3"/>
    <dgm:cxn modelId="{3FFC3782-0B90-4C0C-B55F-D3CA0732286F}" type="presParOf" srcId="{7CF346BE-2EB6-4EEB-9437-36367447B014}" destId="{C328C258-5B03-488D-BB8B-D7110ED24841}" srcOrd="0" destOrd="0" presId="urn:microsoft.com/office/officeart/2005/8/layout/bProcess3"/>
    <dgm:cxn modelId="{5F5A309E-4CCD-4A44-841C-CD9B0524D4F6}" type="presParOf" srcId="{AAE114E2-8D1A-4FEF-B3DB-E6D0CFE31DF1}" destId="{5760CDF3-73E3-4718-816C-2BE98E7D85D1}" srcOrd="12" destOrd="0" presId="urn:microsoft.com/office/officeart/2005/8/layout/bProcess3"/>
    <dgm:cxn modelId="{05E8FFCD-BFAC-4330-B783-4FFCCE9DD024}" type="presParOf" srcId="{AAE114E2-8D1A-4FEF-B3DB-E6D0CFE31DF1}" destId="{8742AD7B-A92F-4600-B729-3721561595D5}" srcOrd="13" destOrd="0" presId="urn:microsoft.com/office/officeart/2005/8/layout/bProcess3"/>
    <dgm:cxn modelId="{72EC5C59-F0B5-43B0-BE8E-F5FF2D8D2458}" type="presParOf" srcId="{8742AD7B-A92F-4600-B729-3721561595D5}" destId="{6B1D3AF5-9A21-4231-A8AC-AE288B1960E2}" srcOrd="0" destOrd="0" presId="urn:microsoft.com/office/officeart/2005/8/layout/bProcess3"/>
    <dgm:cxn modelId="{E7ED945B-3C37-4659-9754-1BAA21F65699}" type="presParOf" srcId="{AAE114E2-8D1A-4FEF-B3DB-E6D0CFE31DF1}" destId="{D02A59D6-8A5F-45D3-8B57-102379EB4237}" srcOrd="14" destOrd="0" presId="urn:microsoft.com/office/officeart/2005/8/layout/bProcess3"/>
    <dgm:cxn modelId="{30B6584D-5ACB-404D-954B-E9565DA72345}" type="presParOf" srcId="{AAE114E2-8D1A-4FEF-B3DB-E6D0CFE31DF1}" destId="{999F8EE4-9AA9-4946-A755-9EB8271AFE1A}" srcOrd="15" destOrd="0" presId="urn:microsoft.com/office/officeart/2005/8/layout/bProcess3"/>
    <dgm:cxn modelId="{0B926E89-CB53-42B3-A854-204F0D1C2B36}" type="presParOf" srcId="{999F8EE4-9AA9-4946-A755-9EB8271AFE1A}" destId="{07E447A6-7A0C-44D9-984A-98D04283CBDB}" srcOrd="0" destOrd="0" presId="urn:microsoft.com/office/officeart/2005/8/layout/bProcess3"/>
    <dgm:cxn modelId="{D95797D4-575B-406C-95FA-ED1399543997}" type="presParOf" srcId="{AAE114E2-8D1A-4FEF-B3DB-E6D0CFE31DF1}" destId="{CCA88960-5EB3-4D31-BB2E-8942F3BA371F}" srcOrd="16" destOrd="0" presId="urn:microsoft.com/office/officeart/2005/8/layout/bProcess3"/>
  </dgm:cxnLst>
  <dgm:bg>
    <a:noFill/>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B58F1A-C093-49BD-80AD-2237C0B93827}" type="doc">
      <dgm:prSet loTypeId="urn:microsoft.com/office/officeart/2005/8/layout/bProcess3" loCatId="process" qsTypeId="urn:microsoft.com/office/officeart/2005/8/quickstyle/simple1" qsCatId="simple" csTypeId="urn:microsoft.com/office/officeart/2005/8/colors/accent5_2" csCatId="accent5" phldr="1"/>
      <dgm:spPr/>
      <dgm:t>
        <a:bodyPr/>
        <a:lstStyle/>
        <a:p>
          <a:endParaRPr lang="pl-PL"/>
        </a:p>
      </dgm:t>
    </dgm:pt>
    <dgm:pt modelId="{8A51A739-DB56-4C2D-8F94-9B4A31A02C8B}">
      <dgm:prSet phldrT="[Tekst]" custT="1"/>
      <dgm:spPr>
        <a:xfrm>
          <a:off x="20934" y="1503"/>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pl-PL" sz="800">
              <a:solidFill>
                <a:sysClr val="windowText" lastClr="000000">
                  <a:lumMod val="75000"/>
                  <a:lumOff val="25000"/>
                </a:sysClr>
              </a:solidFill>
              <a:latin typeface="Century Gothic"/>
              <a:ea typeface="+mn-ea"/>
              <a:cs typeface="+mn-cs"/>
            </a:rPr>
            <a:t>Firma lub osoba zainteresowana usługą zgłasza się do operatora</a:t>
          </a:r>
        </a:p>
      </dgm:t>
    </dgm:pt>
    <dgm:pt modelId="{5A66EB1D-2EE5-410C-9E06-D7ED38D400C7}" type="parTrans" cxnId="{AB0B4C25-1643-457D-BC63-0EE29242D935}">
      <dgm:prSet/>
      <dgm:spPr/>
      <dgm:t>
        <a:bodyPr/>
        <a:lstStyle/>
        <a:p>
          <a:pPr algn="ctr"/>
          <a:endParaRPr lang="pl-PL" sz="800">
            <a:solidFill>
              <a:schemeClr val="tx1">
                <a:lumMod val="75000"/>
                <a:lumOff val="25000"/>
              </a:schemeClr>
            </a:solidFill>
          </a:endParaRPr>
        </a:p>
      </dgm:t>
    </dgm:pt>
    <dgm:pt modelId="{3BCAF7A9-AD4B-4002-9088-7A308F10D4CF}" type="sibTrans" cxnId="{AB0B4C25-1643-457D-BC63-0EE29242D935}">
      <dgm:prSet custT="1"/>
      <dgm:spPr>
        <a:xfrm>
          <a:off x="1238505" y="321594"/>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lgn="ctr">
            <a:buNone/>
          </a:pPr>
          <a:endParaRPr lang="pl-PL" sz="800">
            <a:solidFill>
              <a:sysClr val="windowText" lastClr="000000">
                <a:lumMod val="75000"/>
                <a:lumOff val="25000"/>
              </a:sysClr>
            </a:solidFill>
            <a:latin typeface="Century Gothic"/>
            <a:ea typeface="+mn-ea"/>
            <a:cs typeface="+mn-cs"/>
          </a:endParaRPr>
        </a:p>
      </dgm:t>
    </dgm:pt>
    <dgm:pt modelId="{CA711396-65AC-47A3-9C01-700E24024588}">
      <dgm:prSet phldrT="[Tekst]" custT="1"/>
      <dgm:spPr>
        <a:xfrm>
          <a:off x="1520761" y="1503"/>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pl-PL" sz="800">
              <a:solidFill>
                <a:sysClr val="windowText" lastClr="000000">
                  <a:lumMod val="75000"/>
                  <a:lumOff val="25000"/>
                </a:sysClr>
              </a:solidFill>
              <a:latin typeface="Century Gothic"/>
              <a:ea typeface="+mn-ea"/>
              <a:cs typeface="+mn-cs"/>
            </a:rPr>
            <a:t>Operator weryfikuje uprawnienia uczestnika do skorzystania z usługi </a:t>
          </a:r>
        </a:p>
      </dgm:t>
    </dgm:pt>
    <dgm:pt modelId="{67E08EA1-F2AE-4777-9E48-62C6857FD051}" type="parTrans" cxnId="{7950AB74-A6F6-45EF-9815-1FFBFFAF733D}">
      <dgm:prSet/>
      <dgm:spPr/>
      <dgm:t>
        <a:bodyPr/>
        <a:lstStyle/>
        <a:p>
          <a:pPr algn="ctr"/>
          <a:endParaRPr lang="pl-PL" sz="800">
            <a:solidFill>
              <a:schemeClr val="tx1">
                <a:lumMod val="75000"/>
                <a:lumOff val="25000"/>
              </a:schemeClr>
            </a:solidFill>
          </a:endParaRPr>
        </a:p>
      </dgm:t>
    </dgm:pt>
    <dgm:pt modelId="{7FAB89F0-63F7-4D2C-91DC-DD7FABFD15AF}" type="sibTrans" cxnId="{7950AB74-A6F6-45EF-9815-1FFBFFAF733D}">
      <dgm:prSet custT="1"/>
      <dgm:spPr>
        <a:xfrm>
          <a:off x="2738332" y="321594"/>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lgn="ctr">
            <a:buNone/>
          </a:pPr>
          <a:endParaRPr lang="pl-PL" sz="800">
            <a:solidFill>
              <a:sysClr val="windowText" lastClr="000000">
                <a:lumMod val="75000"/>
                <a:lumOff val="25000"/>
              </a:sysClr>
            </a:solidFill>
            <a:latin typeface="Century Gothic"/>
            <a:ea typeface="+mn-ea"/>
            <a:cs typeface="+mn-cs"/>
          </a:endParaRPr>
        </a:p>
      </dgm:t>
    </dgm:pt>
    <dgm:pt modelId="{E46040AC-CDDA-4157-837F-9CDF26B48043}">
      <dgm:prSet phldrT="[Tekst]" custT="1"/>
      <dgm:spPr>
        <a:xfrm>
          <a:off x="3020587" y="1503"/>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pl-PL" sz="800">
              <a:solidFill>
                <a:sysClr val="windowText" lastClr="000000">
                  <a:lumMod val="75000"/>
                  <a:lumOff val="25000"/>
                </a:sysClr>
              </a:solidFill>
              <a:latin typeface="Century Gothic"/>
              <a:ea typeface="+mn-ea"/>
              <a:cs typeface="+mn-cs"/>
            </a:rPr>
            <a:t>Operator podpisuje z uczestnikiem umowę o dofinansowanie</a:t>
          </a:r>
        </a:p>
      </dgm:t>
    </dgm:pt>
    <dgm:pt modelId="{973EF31E-177F-4612-B1A1-A49F12BE73DD}" type="parTrans" cxnId="{E6E6635E-1E4D-411C-88B9-FDFD3D762601}">
      <dgm:prSet/>
      <dgm:spPr/>
      <dgm:t>
        <a:bodyPr/>
        <a:lstStyle/>
        <a:p>
          <a:pPr algn="ctr"/>
          <a:endParaRPr lang="pl-PL" sz="800">
            <a:solidFill>
              <a:schemeClr val="tx1">
                <a:lumMod val="75000"/>
                <a:lumOff val="25000"/>
              </a:schemeClr>
            </a:solidFill>
          </a:endParaRPr>
        </a:p>
      </dgm:t>
    </dgm:pt>
    <dgm:pt modelId="{9E487AA4-E6AA-4DDD-A440-B0108CD23437}" type="sibTrans" cxnId="{E6E6635E-1E4D-411C-88B9-FDFD3D762601}">
      <dgm:prSet custT="1"/>
      <dgm:spPr>
        <a:xfrm>
          <a:off x="4238158" y="321594"/>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lgn="ctr">
            <a:buNone/>
          </a:pPr>
          <a:endParaRPr lang="pl-PL" sz="800">
            <a:solidFill>
              <a:sysClr val="windowText" lastClr="000000">
                <a:lumMod val="75000"/>
                <a:lumOff val="25000"/>
              </a:sysClr>
            </a:solidFill>
            <a:latin typeface="Century Gothic"/>
            <a:ea typeface="+mn-ea"/>
            <a:cs typeface="+mn-cs"/>
          </a:endParaRPr>
        </a:p>
      </dgm:t>
    </dgm:pt>
    <dgm:pt modelId="{AAD1F0B1-C37B-4F2A-A79F-8A9B31304762}">
      <dgm:prSet phldrT="[Tekst]" custT="1"/>
      <dgm:spPr>
        <a:xfrm>
          <a:off x="4520414" y="1503"/>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pl-PL" sz="800">
              <a:solidFill>
                <a:sysClr val="windowText" lastClr="000000">
                  <a:lumMod val="75000"/>
                  <a:lumOff val="25000"/>
                </a:sysClr>
              </a:solidFill>
              <a:latin typeface="Century Gothic"/>
              <a:ea typeface="+mn-ea"/>
              <a:cs typeface="+mn-cs"/>
            </a:rPr>
            <a:t>Uczestnik rejestruje się w BUR i wnosi wkład własny</a:t>
          </a:r>
        </a:p>
      </dgm:t>
    </dgm:pt>
    <dgm:pt modelId="{066D36F2-87C7-446C-A230-CDBDC82DAA96}" type="parTrans" cxnId="{9827E4A2-0709-4C04-8683-67E123ADBCB4}">
      <dgm:prSet/>
      <dgm:spPr/>
      <dgm:t>
        <a:bodyPr/>
        <a:lstStyle/>
        <a:p>
          <a:pPr algn="ctr"/>
          <a:endParaRPr lang="pl-PL" sz="800">
            <a:solidFill>
              <a:schemeClr val="tx1">
                <a:lumMod val="75000"/>
                <a:lumOff val="25000"/>
              </a:schemeClr>
            </a:solidFill>
          </a:endParaRPr>
        </a:p>
      </dgm:t>
    </dgm:pt>
    <dgm:pt modelId="{249749DC-3976-459E-A867-83A5C6855AF2}" type="sibTrans" cxnId="{9827E4A2-0709-4C04-8683-67E123ADBCB4}">
      <dgm:prSet custT="1"/>
      <dgm:spPr>
        <a:xfrm>
          <a:off x="630620" y="731326"/>
          <a:ext cx="4499479" cy="249855"/>
        </a:xfrm>
        <a:noFill/>
        <a:ln w="6350" cap="flat" cmpd="sng" algn="ctr">
          <a:solidFill>
            <a:srgbClr val="5F9C9D">
              <a:hueOff val="0"/>
              <a:satOff val="0"/>
              <a:lumOff val="0"/>
              <a:alphaOff val="0"/>
            </a:srgbClr>
          </a:solidFill>
          <a:prstDash val="solid"/>
          <a:miter lim="800000"/>
          <a:tailEnd type="arrow"/>
        </a:ln>
        <a:effectLst/>
      </dgm:spPr>
      <dgm:t>
        <a:bodyPr/>
        <a:lstStyle/>
        <a:p>
          <a:pPr algn="ctr">
            <a:buNone/>
          </a:pPr>
          <a:endParaRPr lang="pl-PL" sz="800">
            <a:solidFill>
              <a:sysClr val="windowText" lastClr="000000">
                <a:lumMod val="75000"/>
                <a:lumOff val="25000"/>
              </a:sysClr>
            </a:solidFill>
            <a:latin typeface="Century Gothic"/>
            <a:ea typeface="+mn-ea"/>
            <a:cs typeface="+mn-cs"/>
          </a:endParaRPr>
        </a:p>
      </dgm:t>
    </dgm:pt>
    <dgm:pt modelId="{915FE940-859B-44E2-BD0F-224CA14A2F07}">
      <dgm:prSet phldrT="[Tekst]" custT="1"/>
      <dgm:spPr>
        <a:xfrm>
          <a:off x="20934" y="1013581"/>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pl-PL" sz="800">
              <a:solidFill>
                <a:sysClr val="windowText" lastClr="000000">
                  <a:lumMod val="75000"/>
                  <a:lumOff val="25000"/>
                </a:sysClr>
              </a:solidFill>
              <a:latin typeface="Century Gothic"/>
              <a:ea typeface="+mn-ea"/>
              <a:cs typeface="+mn-cs"/>
            </a:rPr>
            <a:t>Operator przekazuje uczestnikowi bony </a:t>
          </a:r>
        </a:p>
      </dgm:t>
    </dgm:pt>
    <dgm:pt modelId="{42120863-074F-4C53-9FA5-08CE2A112473}" type="parTrans" cxnId="{DD261488-6003-4A49-9922-C8872ABE06CA}">
      <dgm:prSet/>
      <dgm:spPr/>
      <dgm:t>
        <a:bodyPr/>
        <a:lstStyle/>
        <a:p>
          <a:pPr algn="ctr"/>
          <a:endParaRPr lang="pl-PL" sz="800">
            <a:solidFill>
              <a:schemeClr val="tx1">
                <a:lumMod val="75000"/>
                <a:lumOff val="25000"/>
              </a:schemeClr>
            </a:solidFill>
          </a:endParaRPr>
        </a:p>
      </dgm:t>
    </dgm:pt>
    <dgm:pt modelId="{4AD67B6E-71A8-456E-959F-E8FF64566BD3}" type="sibTrans" cxnId="{DD261488-6003-4A49-9922-C8872ABE06CA}">
      <dgm:prSet/>
      <dgm:spPr>
        <a:xfrm>
          <a:off x="1238505" y="1333673"/>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lgn="ctr">
            <a:buNone/>
          </a:pPr>
          <a:endParaRPr lang="pl-PL" sz="800">
            <a:solidFill>
              <a:sysClr val="windowText" lastClr="000000">
                <a:lumMod val="75000"/>
                <a:lumOff val="25000"/>
              </a:sysClr>
            </a:solidFill>
            <a:latin typeface="Century Gothic"/>
            <a:ea typeface="+mn-ea"/>
            <a:cs typeface="+mn-cs"/>
          </a:endParaRPr>
        </a:p>
      </dgm:t>
    </dgm:pt>
    <dgm:pt modelId="{2AA2F992-D948-4173-B3F9-FAFC939DB75F}">
      <dgm:prSet custT="1"/>
      <dgm:spPr>
        <a:xfrm>
          <a:off x="1520761" y="1013581"/>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pl-PL" sz="800">
              <a:solidFill>
                <a:sysClr val="windowText" lastClr="000000">
                  <a:lumMod val="75000"/>
                  <a:lumOff val="25000"/>
                </a:sysClr>
              </a:solidFill>
              <a:latin typeface="Century Gothic"/>
              <a:ea typeface="+mn-ea"/>
              <a:cs typeface="+mn-cs"/>
            </a:rPr>
            <a:t>Uczestnik przekazuje bony instytucji szkoleniowej </a:t>
          </a:r>
        </a:p>
      </dgm:t>
    </dgm:pt>
    <dgm:pt modelId="{FB379B84-9A61-4CCF-AEF2-E31FA67F9F78}" type="parTrans" cxnId="{C37F2429-856B-4FF5-AF38-264E508F1311}">
      <dgm:prSet/>
      <dgm:spPr/>
      <dgm:t>
        <a:bodyPr/>
        <a:lstStyle/>
        <a:p>
          <a:endParaRPr lang="pl-PL">
            <a:solidFill>
              <a:schemeClr val="tx1">
                <a:lumMod val="75000"/>
                <a:lumOff val="25000"/>
              </a:schemeClr>
            </a:solidFill>
          </a:endParaRPr>
        </a:p>
      </dgm:t>
    </dgm:pt>
    <dgm:pt modelId="{F93780B9-3EA8-443E-B3CD-C283B196F1E9}" type="sibTrans" cxnId="{C37F2429-856B-4FF5-AF38-264E508F1311}">
      <dgm:prSet/>
      <dgm:spPr>
        <a:xfrm>
          <a:off x="2738332" y="1333673"/>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buNone/>
          </a:pPr>
          <a:endParaRPr lang="pl-PL">
            <a:solidFill>
              <a:sysClr val="windowText" lastClr="000000">
                <a:lumMod val="75000"/>
                <a:lumOff val="25000"/>
              </a:sysClr>
            </a:solidFill>
            <a:latin typeface="Century Gothic"/>
            <a:ea typeface="+mn-ea"/>
            <a:cs typeface="+mn-cs"/>
          </a:endParaRPr>
        </a:p>
      </dgm:t>
    </dgm:pt>
    <dgm:pt modelId="{7DC8CE68-C540-428B-AC5D-BA15CA19D426}">
      <dgm:prSet custT="1"/>
      <dgm:spPr>
        <a:xfrm>
          <a:off x="3020587" y="1013581"/>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pl-PL" sz="800">
              <a:solidFill>
                <a:sysClr val="windowText" lastClr="000000">
                  <a:lumMod val="75000"/>
                  <a:lumOff val="25000"/>
                </a:sysClr>
              </a:solidFill>
              <a:latin typeface="Century Gothic"/>
              <a:ea typeface="+mn-ea"/>
              <a:cs typeface="+mn-cs"/>
            </a:rPr>
            <a:t>Usługa zostaje zrealizowana</a:t>
          </a:r>
        </a:p>
      </dgm:t>
    </dgm:pt>
    <dgm:pt modelId="{576F2592-C39B-4109-A12D-E9F0D5304D1F}" type="parTrans" cxnId="{1349025A-A6E7-499B-8C29-A83CC113433C}">
      <dgm:prSet/>
      <dgm:spPr/>
      <dgm:t>
        <a:bodyPr/>
        <a:lstStyle/>
        <a:p>
          <a:endParaRPr lang="pl-PL">
            <a:solidFill>
              <a:schemeClr val="tx1">
                <a:lumMod val="75000"/>
                <a:lumOff val="25000"/>
              </a:schemeClr>
            </a:solidFill>
          </a:endParaRPr>
        </a:p>
      </dgm:t>
    </dgm:pt>
    <dgm:pt modelId="{F0B0C3C8-7C88-4349-9FD4-0AB2B92D3E35}" type="sibTrans" cxnId="{1349025A-A6E7-499B-8C29-A83CC113433C}">
      <dgm:prSet/>
      <dgm:spPr>
        <a:xfrm>
          <a:off x="4238158" y="1333673"/>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buNone/>
          </a:pPr>
          <a:endParaRPr lang="pl-PL">
            <a:solidFill>
              <a:sysClr val="windowText" lastClr="000000">
                <a:lumMod val="75000"/>
                <a:lumOff val="25000"/>
              </a:sysClr>
            </a:solidFill>
            <a:latin typeface="Century Gothic"/>
            <a:ea typeface="+mn-ea"/>
            <a:cs typeface="+mn-cs"/>
          </a:endParaRPr>
        </a:p>
      </dgm:t>
    </dgm:pt>
    <dgm:pt modelId="{3889B7AC-FC5C-4117-9108-1DBB7907DB27}">
      <dgm:prSet custT="1"/>
      <dgm:spPr>
        <a:xfrm>
          <a:off x="4520414" y="1013581"/>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pl-PL" sz="800">
              <a:solidFill>
                <a:sysClr val="windowText" lastClr="000000">
                  <a:lumMod val="75000"/>
                  <a:lumOff val="25000"/>
                </a:sysClr>
              </a:solidFill>
              <a:latin typeface="Century Gothic"/>
              <a:ea typeface="+mn-ea"/>
              <a:cs typeface="+mn-cs"/>
            </a:rPr>
            <a:t>Uczestnik dokonuje oceny usługi w BUR</a:t>
          </a:r>
        </a:p>
      </dgm:t>
    </dgm:pt>
    <dgm:pt modelId="{15885172-E49E-4540-A6C8-35F15D5C999D}" type="parTrans" cxnId="{4AD9630B-F0C5-4823-836F-F3337B4BCB06}">
      <dgm:prSet/>
      <dgm:spPr/>
      <dgm:t>
        <a:bodyPr/>
        <a:lstStyle/>
        <a:p>
          <a:endParaRPr lang="pl-PL">
            <a:solidFill>
              <a:schemeClr val="tx1">
                <a:lumMod val="75000"/>
                <a:lumOff val="25000"/>
              </a:schemeClr>
            </a:solidFill>
          </a:endParaRPr>
        </a:p>
      </dgm:t>
    </dgm:pt>
    <dgm:pt modelId="{82DA55CC-D716-461F-9211-E28C64D533CB}" type="sibTrans" cxnId="{4AD9630B-F0C5-4823-836F-F3337B4BCB06}">
      <dgm:prSet/>
      <dgm:spPr>
        <a:xfrm>
          <a:off x="630620" y="1743404"/>
          <a:ext cx="4499479" cy="249855"/>
        </a:xfrm>
        <a:noFill/>
        <a:ln w="6350" cap="flat" cmpd="sng" algn="ctr">
          <a:solidFill>
            <a:srgbClr val="5F9C9D">
              <a:hueOff val="0"/>
              <a:satOff val="0"/>
              <a:lumOff val="0"/>
              <a:alphaOff val="0"/>
            </a:srgbClr>
          </a:solidFill>
          <a:prstDash val="solid"/>
          <a:miter lim="800000"/>
          <a:tailEnd type="arrow"/>
        </a:ln>
        <a:effectLst/>
      </dgm:spPr>
      <dgm:t>
        <a:bodyPr/>
        <a:lstStyle/>
        <a:p>
          <a:pPr>
            <a:buNone/>
          </a:pPr>
          <a:endParaRPr lang="pl-PL">
            <a:solidFill>
              <a:sysClr val="windowText" lastClr="000000">
                <a:lumMod val="75000"/>
                <a:lumOff val="25000"/>
              </a:sysClr>
            </a:solidFill>
            <a:latin typeface="Century Gothic"/>
            <a:ea typeface="+mn-ea"/>
            <a:cs typeface="+mn-cs"/>
          </a:endParaRPr>
        </a:p>
      </dgm:t>
    </dgm:pt>
    <dgm:pt modelId="{4DA62971-7ED2-4EAA-AAFD-B8EF9D4AA1CD}">
      <dgm:prSet custT="1"/>
      <dgm:spPr>
        <a:xfrm>
          <a:off x="1520761" y="2025659"/>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pl-PL" sz="800">
              <a:solidFill>
                <a:sysClr val="windowText" lastClr="000000">
                  <a:lumMod val="75000"/>
                  <a:lumOff val="25000"/>
                </a:sysClr>
              </a:solidFill>
              <a:latin typeface="Century Gothic"/>
              <a:ea typeface="+mn-ea"/>
              <a:cs typeface="+mn-cs"/>
            </a:rPr>
            <a:t>Operator przekazuje instytucji szkoleniowej środki finansowe zgodnie z wartością bonów </a:t>
          </a:r>
        </a:p>
      </dgm:t>
    </dgm:pt>
    <dgm:pt modelId="{958CC2E9-A903-4CD8-A1BE-32C509298C78}" type="parTrans" cxnId="{D57706CE-31D5-4170-8327-9F7F09E89A43}">
      <dgm:prSet/>
      <dgm:spPr/>
      <dgm:t>
        <a:bodyPr/>
        <a:lstStyle/>
        <a:p>
          <a:endParaRPr lang="pl-PL">
            <a:solidFill>
              <a:schemeClr val="tx1">
                <a:lumMod val="75000"/>
                <a:lumOff val="25000"/>
              </a:schemeClr>
            </a:solidFill>
          </a:endParaRPr>
        </a:p>
      </dgm:t>
    </dgm:pt>
    <dgm:pt modelId="{3856FB66-1C48-4E75-913F-6F4438029E14}" type="sibTrans" cxnId="{D57706CE-31D5-4170-8327-9F7F09E89A43}">
      <dgm:prSet/>
      <dgm:spPr/>
      <dgm:t>
        <a:bodyPr/>
        <a:lstStyle/>
        <a:p>
          <a:endParaRPr lang="pl-PL">
            <a:solidFill>
              <a:schemeClr val="tx1">
                <a:lumMod val="75000"/>
                <a:lumOff val="25000"/>
              </a:schemeClr>
            </a:solidFill>
          </a:endParaRPr>
        </a:p>
      </dgm:t>
    </dgm:pt>
    <dgm:pt modelId="{1DB48752-69DA-4F11-A9A7-65417E7CBF61}">
      <dgm:prSet custT="1"/>
      <dgm:spPr>
        <a:xfrm>
          <a:off x="20934" y="2025659"/>
          <a:ext cx="1219371" cy="731622"/>
        </a:xfr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pl-PL" sz="800">
              <a:solidFill>
                <a:sysClr val="windowText" lastClr="000000">
                  <a:lumMod val="75000"/>
                  <a:lumOff val="25000"/>
                </a:sysClr>
              </a:solidFill>
              <a:latin typeface="Century Gothic"/>
              <a:ea typeface="+mn-ea"/>
              <a:cs typeface="+mn-cs"/>
            </a:rPr>
            <a:t>Instytucja szkoleniowa przekazuje operatorowi fakturę za wykonaną usługę</a:t>
          </a:r>
        </a:p>
      </dgm:t>
    </dgm:pt>
    <dgm:pt modelId="{DF748498-4A96-43EA-9722-98F0BB17761B}" type="parTrans" cxnId="{6508D34C-B2D2-4391-A85D-2E9C42B10D63}">
      <dgm:prSet/>
      <dgm:spPr/>
      <dgm:t>
        <a:bodyPr/>
        <a:lstStyle/>
        <a:p>
          <a:endParaRPr lang="pl-PL">
            <a:solidFill>
              <a:schemeClr val="tx1">
                <a:lumMod val="75000"/>
                <a:lumOff val="25000"/>
              </a:schemeClr>
            </a:solidFill>
          </a:endParaRPr>
        </a:p>
      </dgm:t>
    </dgm:pt>
    <dgm:pt modelId="{F703069E-F835-4EE6-9452-C8199C0C6532}" type="sibTrans" cxnId="{6508D34C-B2D2-4391-A85D-2E9C42B10D63}">
      <dgm:prSet/>
      <dgm:spPr>
        <a:xfrm>
          <a:off x="1238505" y="2345751"/>
          <a:ext cx="249855" cy="91440"/>
        </a:xfrm>
        <a:noFill/>
        <a:ln w="6350" cap="flat" cmpd="sng" algn="ctr">
          <a:solidFill>
            <a:srgbClr val="5F9C9D">
              <a:hueOff val="0"/>
              <a:satOff val="0"/>
              <a:lumOff val="0"/>
              <a:alphaOff val="0"/>
            </a:srgbClr>
          </a:solidFill>
          <a:prstDash val="solid"/>
          <a:miter lim="800000"/>
          <a:tailEnd type="arrow"/>
        </a:ln>
        <a:effectLst/>
      </dgm:spPr>
      <dgm:t>
        <a:bodyPr/>
        <a:lstStyle/>
        <a:p>
          <a:pPr>
            <a:buNone/>
          </a:pPr>
          <a:endParaRPr lang="pl-PL">
            <a:solidFill>
              <a:sysClr val="windowText" lastClr="000000">
                <a:lumMod val="75000"/>
                <a:lumOff val="25000"/>
              </a:sysClr>
            </a:solidFill>
            <a:latin typeface="Century Gothic"/>
            <a:ea typeface="+mn-ea"/>
            <a:cs typeface="+mn-cs"/>
          </a:endParaRPr>
        </a:p>
      </dgm:t>
    </dgm:pt>
    <dgm:pt modelId="{AAE114E2-8D1A-4FEF-B3DB-E6D0CFE31DF1}" type="pres">
      <dgm:prSet presAssocID="{21B58F1A-C093-49BD-80AD-2237C0B93827}" presName="Name0" presStyleCnt="0">
        <dgm:presLayoutVars>
          <dgm:dir/>
          <dgm:resizeHandles val="exact"/>
        </dgm:presLayoutVars>
      </dgm:prSet>
      <dgm:spPr/>
      <dgm:t>
        <a:bodyPr/>
        <a:lstStyle/>
        <a:p>
          <a:endParaRPr lang="pl-PL"/>
        </a:p>
      </dgm:t>
    </dgm:pt>
    <dgm:pt modelId="{5116AAEB-09AA-445A-BF91-52FC1BE5EBBA}" type="pres">
      <dgm:prSet presAssocID="{8A51A739-DB56-4C2D-8F94-9B4A31A02C8B}" presName="node" presStyleLbl="node1" presStyleIdx="0" presStyleCnt="10">
        <dgm:presLayoutVars>
          <dgm:bulletEnabled val="1"/>
        </dgm:presLayoutVars>
      </dgm:prSet>
      <dgm:spPr>
        <a:prstGeom prst="rect">
          <a:avLst/>
        </a:prstGeom>
      </dgm:spPr>
      <dgm:t>
        <a:bodyPr/>
        <a:lstStyle/>
        <a:p>
          <a:endParaRPr lang="pl-PL"/>
        </a:p>
      </dgm:t>
    </dgm:pt>
    <dgm:pt modelId="{47DA9960-8022-4885-B8A4-DC69E117E4A9}" type="pres">
      <dgm:prSet presAssocID="{3BCAF7A9-AD4B-4002-9088-7A308F10D4CF}" presName="sibTrans" presStyleLbl="sibTrans1D1" presStyleIdx="0" presStyleCnt="9"/>
      <dgm:spPr>
        <a:custGeom>
          <a:avLst/>
          <a:gdLst/>
          <a:ahLst/>
          <a:cxnLst/>
          <a:rect l="0" t="0" r="0" b="0"/>
          <a:pathLst>
            <a:path>
              <a:moveTo>
                <a:pt x="0" y="45720"/>
              </a:moveTo>
              <a:lnTo>
                <a:pt x="255048" y="45720"/>
              </a:lnTo>
            </a:path>
          </a:pathLst>
        </a:custGeom>
      </dgm:spPr>
      <dgm:t>
        <a:bodyPr/>
        <a:lstStyle/>
        <a:p>
          <a:endParaRPr lang="pl-PL"/>
        </a:p>
      </dgm:t>
    </dgm:pt>
    <dgm:pt modelId="{9F3325F2-5F7D-40F6-A31B-55EF61D90A30}" type="pres">
      <dgm:prSet presAssocID="{3BCAF7A9-AD4B-4002-9088-7A308F10D4CF}" presName="connectorText" presStyleLbl="sibTrans1D1" presStyleIdx="0" presStyleCnt="9"/>
      <dgm:spPr/>
      <dgm:t>
        <a:bodyPr/>
        <a:lstStyle/>
        <a:p>
          <a:endParaRPr lang="pl-PL"/>
        </a:p>
      </dgm:t>
    </dgm:pt>
    <dgm:pt modelId="{BC176433-86C6-4714-954C-C2AD549F0A2C}" type="pres">
      <dgm:prSet presAssocID="{CA711396-65AC-47A3-9C01-700E24024588}" presName="node" presStyleLbl="node1" presStyleIdx="1" presStyleCnt="10">
        <dgm:presLayoutVars>
          <dgm:bulletEnabled val="1"/>
        </dgm:presLayoutVars>
      </dgm:prSet>
      <dgm:spPr>
        <a:prstGeom prst="rect">
          <a:avLst/>
        </a:prstGeom>
      </dgm:spPr>
      <dgm:t>
        <a:bodyPr/>
        <a:lstStyle/>
        <a:p>
          <a:endParaRPr lang="pl-PL"/>
        </a:p>
      </dgm:t>
    </dgm:pt>
    <dgm:pt modelId="{E381A5EF-45B0-4D75-BAC2-524C5A81FB23}" type="pres">
      <dgm:prSet presAssocID="{7FAB89F0-63F7-4D2C-91DC-DD7FABFD15AF}" presName="sibTrans" presStyleLbl="sibTrans1D1" presStyleIdx="1" presStyleCnt="9"/>
      <dgm:spPr>
        <a:custGeom>
          <a:avLst/>
          <a:gdLst/>
          <a:ahLst/>
          <a:cxnLst/>
          <a:rect l="0" t="0" r="0" b="0"/>
          <a:pathLst>
            <a:path>
              <a:moveTo>
                <a:pt x="0" y="45720"/>
              </a:moveTo>
              <a:lnTo>
                <a:pt x="255048" y="45720"/>
              </a:lnTo>
            </a:path>
          </a:pathLst>
        </a:custGeom>
      </dgm:spPr>
      <dgm:t>
        <a:bodyPr/>
        <a:lstStyle/>
        <a:p>
          <a:endParaRPr lang="pl-PL"/>
        </a:p>
      </dgm:t>
    </dgm:pt>
    <dgm:pt modelId="{43C4E9A7-B0E2-49D0-B1E0-BB952A7E81BD}" type="pres">
      <dgm:prSet presAssocID="{7FAB89F0-63F7-4D2C-91DC-DD7FABFD15AF}" presName="connectorText" presStyleLbl="sibTrans1D1" presStyleIdx="1" presStyleCnt="9"/>
      <dgm:spPr/>
      <dgm:t>
        <a:bodyPr/>
        <a:lstStyle/>
        <a:p>
          <a:endParaRPr lang="pl-PL"/>
        </a:p>
      </dgm:t>
    </dgm:pt>
    <dgm:pt modelId="{88505FE5-94B6-47D9-9F7D-12BACD25D505}" type="pres">
      <dgm:prSet presAssocID="{E46040AC-CDDA-4157-837F-9CDF26B48043}" presName="node" presStyleLbl="node1" presStyleIdx="2" presStyleCnt="10">
        <dgm:presLayoutVars>
          <dgm:bulletEnabled val="1"/>
        </dgm:presLayoutVars>
      </dgm:prSet>
      <dgm:spPr>
        <a:prstGeom prst="rect">
          <a:avLst/>
        </a:prstGeom>
      </dgm:spPr>
      <dgm:t>
        <a:bodyPr/>
        <a:lstStyle/>
        <a:p>
          <a:endParaRPr lang="pl-PL"/>
        </a:p>
      </dgm:t>
    </dgm:pt>
    <dgm:pt modelId="{7D959D5D-73AE-4AEC-8EA5-C29C93637867}" type="pres">
      <dgm:prSet presAssocID="{9E487AA4-E6AA-4DDD-A440-B0108CD23437}" presName="sibTrans" presStyleLbl="sibTrans1D1" presStyleIdx="2" presStyleCnt="9"/>
      <dgm:spPr>
        <a:custGeom>
          <a:avLst/>
          <a:gdLst/>
          <a:ahLst/>
          <a:cxnLst/>
          <a:rect l="0" t="0" r="0" b="0"/>
          <a:pathLst>
            <a:path>
              <a:moveTo>
                <a:pt x="0" y="45720"/>
              </a:moveTo>
              <a:lnTo>
                <a:pt x="255048" y="45720"/>
              </a:lnTo>
            </a:path>
          </a:pathLst>
        </a:custGeom>
      </dgm:spPr>
      <dgm:t>
        <a:bodyPr/>
        <a:lstStyle/>
        <a:p>
          <a:endParaRPr lang="pl-PL"/>
        </a:p>
      </dgm:t>
    </dgm:pt>
    <dgm:pt modelId="{9F2F7511-8B82-496D-A1A3-81815594B492}" type="pres">
      <dgm:prSet presAssocID="{9E487AA4-E6AA-4DDD-A440-B0108CD23437}" presName="connectorText" presStyleLbl="sibTrans1D1" presStyleIdx="2" presStyleCnt="9"/>
      <dgm:spPr/>
      <dgm:t>
        <a:bodyPr/>
        <a:lstStyle/>
        <a:p>
          <a:endParaRPr lang="pl-PL"/>
        </a:p>
      </dgm:t>
    </dgm:pt>
    <dgm:pt modelId="{1B5A1223-2CF7-46EA-BBC0-83517119EA6B}" type="pres">
      <dgm:prSet presAssocID="{AAD1F0B1-C37B-4F2A-A79F-8A9B31304762}" presName="node" presStyleLbl="node1" presStyleIdx="3" presStyleCnt="10">
        <dgm:presLayoutVars>
          <dgm:bulletEnabled val="1"/>
        </dgm:presLayoutVars>
      </dgm:prSet>
      <dgm:spPr>
        <a:prstGeom prst="rect">
          <a:avLst/>
        </a:prstGeom>
      </dgm:spPr>
      <dgm:t>
        <a:bodyPr/>
        <a:lstStyle/>
        <a:p>
          <a:endParaRPr lang="pl-PL"/>
        </a:p>
      </dgm:t>
    </dgm:pt>
    <dgm:pt modelId="{008F0687-D7F2-4342-969A-2ED93B82267A}" type="pres">
      <dgm:prSet presAssocID="{249749DC-3976-459E-A867-83A5C6855AF2}" presName="sibTrans" presStyleLbl="sibTrans1D1" presStyleIdx="3" presStyleCnt="9"/>
      <dgm:spPr>
        <a:custGeom>
          <a:avLst/>
          <a:gdLst/>
          <a:ahLst/>
          <a:cxnLst/>
          <a:rect l="0" t="0" r="0" b="0"/>
          <a:pathLst>
            <a:path>
              <a:moveTo>
                <a:pt x="4582803" y="0"/>
              </a:moveTo>
              <a:lnTo>
                <a:pt x="4582803" y="144624"/>
              </a:lnTo>
              <a:lnTo>
                <a:pt x="0" y="144624"/>
              </a:lnTo>
              <a:lnTo>
                <a:pt x="0" y="255048"/>
              </a:lnTo>
            </a:path>
          </a:pathLst>
        </a:custGeom>
      </dgm:spPr>
      <dgm:t>
        <a:bodyPr/>
        <a:lstStyle/>
        <a:p>
          <a:endParaRPr lang="pl-PL"/>
        </a:p>
      </dgm:t>
    </dgm:pt>
    <dgm:pt modelId="{D56CF2AD-2449-4C0A-BDCF-F7DF993339EF}" type="pres">
      <dgm:prSet presAssocID="{249749DC-3976-459E-A867-83A5C6855AF2}" presName="connectorText" presStyleLbl="sibTrans1D1" presStyleIdx="3" presStyleCnt="9"/>
      <dgm:spPr/>
      <dgm:t>
        <a:bodyPr/>
        <a:lstStyle/>
        <a:p>
          <a:endParaRPr lang="pl-PL"/>
        </a:p>
      </dgm:t>
    </dgm:pt>
    <dgm:pt modelId="{5A80C465-5BED-40EE-81C6-13F9281B6074}" type="pres">
      <dgm:prSet presAssocID="{915FE940-859B-44E2-BD0F-224CA14A2F07}" presName="node" presStyleLbl="node1" presStyleIdx="4" presStyleCnt="10">
        <dgm:presLayoutVars>
          <dgm:bulletEnabled val="1"/>
        </dgm:presLayoutVars>
      </dgm:prSet>
      <dgm:spPr>
        <a:prstGeom prst="rect">
          <a:avLst/>
        </a:prstGeom>
      </dgm:spPr>
      <dgm:t>
        <a:bodyPr/>
        <a:lstStyle/>
        <a:p>
          <a:endParaRPr lang="pl-PL"/>
        </a:p>
      </dgm:t>
    </dgm:pt>
    <dgm:pt modelId="{F13D9DCC-55A6-4C5A-8EA2-A4F0D45B1FFE}" type="pres">
      <dgm:prSet presAssocID="{4AD67B6E-71A8-456E-959F-E8FF64566BD3}" presName="sibTrans" presStyleLbl="sibTrans1D1" presStyleIdx="4" presStyleCnt="9"/>
      <dgm:spPr>
        <a:custGeom>
          <a:avLst/>
          <a:gdLst/>
          <a:ahLst/>
          <a:cxnLst/>
          <a:rect l="0" t="0" r="0" b="0"/>
          <a:pathLst>
            <a:path>
              <a:moveTo>
                <a:pt x="0" y="45720"/>
              </a:moveTo>
              <a:lnTo>
                <a:pt x="255048" y="45720"/>
              </a:lnTo>
            </a:path>
          </a:pathLst>
        </a:custGeom>
      </dgm:spPr>
      <dgm:t>
        <a:bodyPr/>
        <a:lstStyle/>
        <a:p>
          <a:endParaRPr lang="pl-PL"/>
        </a:p>
      </dgm:t>
    </dgm:pt>
    <dgm:pt modelId="{ED3FFB9D-BF67-4B05-9531-3A1BE5B6F1AA}" type="pres">
      <dgm:prSet presAssocID="{4AD67B6E-71A8-456E-959F-E8FF64566BD3}" presName="connectorText" presStyleLbl="sibTrans1D1" presStyleIdx="4" presStyleCnt="9"/>
      <dgm:spPr/>
      <dgm:t>
        <a:bodyPr/>
        <a:lstStyle/>
        <a:p>
          <a:endParaRPr lang="pl-PL"/>
        </a:p>
      </dgm:t>
    </dgm:pt>
    <dgm:pt modelId="{FC7FC0A1-948D-4AF5-A11A-F11E01CEB6E6}" type="pres">
      <dgm:prSet presAssocID="{2AA2F992-D948-4173-B3F9-FAFC939DB75F}" presName="node" presStyleLbl="node1" presStyleIdx="5" presStyleCnt="10">
        <dgm:presLayoutVars>
          <dgm:bulletEnabled val="1"/>
        </dgm:presLayoutVars>
      </dgm:prSet>
      <dgm:spPr>
        <a:prstGeom prst="rect">
          <a:avLst/>
        </a:prstGeom>
      </dgm:spPr>
      <dgm:t>
        <a:bodyPr/>
        <a:lstStyle/>
        <a:p>
          <a:endParaRPr lang="pl-PL"/>
        </a:p>
      </dgm:t>
    </dgm:pt>
    <dgm:pt modelId="{C4F4A902-D6F2-42AF-947E-8C1A4B2AC5F3}" type="pres">
      <dgm:prSet presAssocID="{F93780B9-3EA8-443E-B3CD-C283B196F1E9}" presName="sibTrans" presStyleLbl="sibTrans1D1" presStyleIdx="5" presStyleCnt="9"/>
      <dgm:spPr>
        <a:custGeom>
          <a:avLst/>
          <a:gdLst/>
          <a:ahLst/>
          <a:cxnLst/>
          <a:rect l="0" t="0" r="0" b="0"/>
          <a:pathLst>
            <a:path>
              <a:moveTo>
                <a:pt x="0" y="45720"/>
              </a:moveTo>
              <a:lnTo>
                <a:pt x="255048" y="45720"/>
              </a:lnTo>
            </a:path>
          </a:pathLst>
        </a:custGeom>
      </dgm:spPr>
      <dgm:t>
        <a:bodyPr/>
        <a:lstStyle/>
        <a:p>
          <a:endParaRPr lang="pl-PL"/>
        </a:p>
      </dgm:t>
    </dgm:pt>
    <dgm:pt modelId="{87834858-952E-4014-A10E-39BE489D7F7D}" type="pres">
      <dgm:prSet presAssocID="{F93780B9-3EA8-443E-B3CD-C283B196F1E9}" presName="connectorText" presStyleLbl="sibTrans1D1" presStyleIdx="5" presStyleCnt="9"/>
      <dgm:spPr/>
      <dgm:t>
        <a:bodyPr/>
        <a:lstStyle/>
        <a:p>
          <a:endParaRPr lang="pl-PL"/>
        </a:p>
      </dgm:t>
    </dgm:pt>
    <dgm:pt modelId="{F666B0F6-174E-4D4E-A0D9-F3C567FAFBF8}" type="pres">
      <dgm:prSet presAssocID="{7DC8CE68-C540-428B-AC5D-BA15CA19D426}" presName="node" presStyleLbl="node1" presStyleIdx="6" presStyleCnt="10">
        <dgm:presLayoutVars>
          <dgm:bulletEnabled val="1"/>
        </dgm:presLayoutVars>
      </dgm:prSet>
      <dgm:spPr>
        <a:prstGeom prst="rect">
          <a:avLst/>
        </a:prstGeom>
      </dgm:spPr>
      <dgm:t>
        <a:bodyPr/>
        <a:lstStyle/>
        <a:p>
          <a:endParaRPr lang="pl-PL"/>
        </a:p>
      </dgm:t>
    </dgm:pt>
    <dgm:pt modelId="{3893C878-5A8F-4594-8E65-64AA2BD9B7B4}" type="pres">
      <dgm:prSet presAssocID="{F0B0C3C8-7C88-4349-9FD4-0AB2B92D3E35}" presName="sibTrans" presStyleLbl="sibTrans1D1" presStyleIdx="6" presStyleCnt="9"/>
      <dgm:spPr>
        <a:custGeom>
          <a:avLst/>
          <a:gdLst/>
          <a:ahLst/>
          <a:cxnLst/>
          <a:rect l="0" t="0" r="0" b="0"/>
          <a:pathLst>
            <a:path>
              <a:moveTo>
                <a:pt x="0" y="45720"/>
              </a:moveTo>
              <a:lnTo>
                <a:pt x="255048" y="45720"/>
              </a:lnTo>
            </a:path>
          </a:pathLst>
        </a:custGeom>
      </dgm:spPr>
      <dgm:t>
        <a:bodyPr/>
        <a:lstStyle/>
        <a:p>
          <a:endParaRPr lang="pl-PL"/>
        </a:p>
      </dgm:t>
    </dgm:pt>
    <dgm:pt modelId="{D0802193-83DE-4127-9B4A-95323B36DF94}" type="pres">
      <dgm:prSet presAssocID="{F0B0C3C8-7C88-4349-9FD4-0AB2B92D3E35}" presName="connectorText" presStyleLbl="sibTrans1D1" presStyleIdx="6" presStyleCnt="9"/>
      <dgm:spPr/>
      <dgm:t>
        <a:bodyPr/>
        <a:lstStyle/>
        <a:p>
          <a:endParaRPr lang="pl-PL"/>
        </a:p>
      </dgm:t>
    </dgm:pt>
    <dgm:pt modelId="{4EB06A87-104B-4D7B-B74E-64F41E840791}" type="pres">
      <dgm:prSet presAssocID="{3889B7AC-FC5C-4117-9108-1DBB7907DB27}" presName="node" presStyleLbl="node1" presStyleIdx="7" presStyleCnt="10">
        <dgm:presLayoutVars>
          <dgm:bulletEnabled val="1"/>
        </dgm:presLayoutVars>
      </dgm:prSet>
      <dgm:spPr>
        <a:prstGeom prst="rect">
          <a:avLst/>
        </a:prstGeom>
      </dgm:spPr>
      <dgm:t>
        <a:bodyPr/>
        <a:lstStyle/>
        <a:p>
          <a:endParaRPr lang="pl-PL"/>
        </a:p>
      </dgm:t>
    </dgm:pt>
    <dgm:pt modelId="{9C4A58B7-167C-4A2D-ABAA-4035CDB6A1E9}" type="pres">
      <dgm:prSet presAssocID="{82DA55CC-D716-461F-9211-E28C64D533CB}" presName="sibTrans" presStyleLbl="sibTrans1D1" presStyleIdx="7" presStyleCnt="9"/>
      <dgm:spPr>
        <a:custGeom>
          <a:avLst/>
          <a:gdLst/>
          <a:ahLst/>
          <a:cxnLst/>
          <a:rect l="0" t="0" r="0" b="0"/>
          <a:pathLst>
            <a:path>
              <a:moveTo>
                <a:pt x="4582803" y="0"/>
              </a:moveTo>
              <a:lnTo>
                <a:pt x="4582803" y="144624"/>
              </a:lnTo>
              <a:lnTo>
                <a:pt x="0" y="144624"/>
              </a:lnTo>
              <a:lnTo>
                <a:pt x="0" y="255048"/>
              </a:lnTo>
            </a:path>
          </a:pathLst>
        </a:custGeom>
      </dgm:spPr>
      <dgm:t>
        <a:bodyPr/>
        <a:lstStyle/>
        <a:p>
          <a:endParaRPr lang="pl-PL"/>
        </a:p>
      </dgm:t>
    </dgm:pt>
    <dgm:pt modelId="{52D5489E-EA2C-48D2-AABB-097060968F56}" type="pres">
      <dgm:prSet presAssocID="{82DA55CC-D716-461F-9211-E28C64D533CB}" presName="connectorText" presStyleLbl="sibTrans1D1" presStyleIdx="7" presStyleCnt="9"/>
      <dgm:spPr/>
      <dgm:t>
        <a:bodyPr/>
        <a:lstStyle/>
        <a:p>
          <a:endParaRPr lang="pl-PL"/>
        </a:p>
      </dgm:t>
    </dgm:pt>
    <dgm:pt modelId="{645C4BE9-D808-4E48-8919-46F9F49D50CF}" type="pres">
      <dgm:prSet presAssocID="{1DB48752-69DA-4F11-A9A7-65417E7CBF61}" presName="node" presStyleLbl="node1" presStyleIdx="8" presStyleCnt="10">
        <dgm:presLayoutVars>
          <dgm:bulletEnabled val="1"/>
        </dgm:presLayoutVars>
      </dgm:prSet>
      <dgm:spPr>
        <a:prstGeom prst="rect">
          <a:avLst/>
        </a:prstGeom>
      </dgm:spPr>
      <dgm:t>
        <a:bodyPr/>
        <a:lstStyle/>
        <a:p>
          <a:endParaRPr lang="pl-PL"/>
        </a:p>
      </dgm:t>
    </dgm:pt>
    <dgm:pt modelId="{97049CA0-A6D4-462D-9422-2AAFBE31DA23}" type="pres">
      <dgm:prSet presAssocID="{F703069E-F835-4EE6-9452-C8199C0C6532}" presName="sibTrans" presStyleLbl="sibTrans1D1" presStyleIdx="8" presStyleCnt="9"/>
      <dgm:spPr>
        <a:custGeom>
          <a:avLst/>
          <a:gdLst/>
          <a:ahLst/>
          <a:cxnLst/>
          <a:rect l="0" t="0" r="0" b="0"/>
          <a:pathLst>
            <a:path>
              <a:moveTo>
                <a:pt x="0" y="45720"/>
              </a:moveTo>
              <a:lnTo>
                <a:pt x="255048" y="45720"/>
              </a:lnTo>
            </a:path>
          </a:pathLst>
        </a:custGeom>
      </dgm:spPr>
      <dgm:t>
        <a:bodyPr/>
        <a:lstStyle/>
        <a:p>
          <a:endParaRPr lang="pl-PL"/>
        </a:p>
      </dgm:t>
    </dgm:pt>
    <dgm:pt modelId="{2F6BAF2D-8F93-4654-BBED-13667D0135AA}" type="pres">
      <dgm:prSet presAssocID="{F703069E-F835-4EE6-9452-C8199C0C6532}" presName="connectorText" presStyleLbl="sibTrans1D1" presStyleIdx="8" presStyleCnt="9"/>
      <dgm:spPr/>
      <dgm:t>
        <a:bodyPr/>
        <a:lstStyle/>
        <a:p>
          <a:endParaRPr lang="pl-PL"/>
        </a:p>
      </dgm:t>
    </dgm:pt>
    <dgm:pt modelId="{AB30B9DB-22CD-419E-BCA8-82575E54A099}" type="pres">
      <dgm:prSet presAssocID="{4DA62971-7ED2-4EAA-AAFD-B8EF9D4AA1CD}" presName="node" presStyleLbl="node1" presStyleIdx="9" presStyleCnt="10">
        <dgm:presLayoutVars>
          <dgm:bulletEnabled val="1"/>
        </dgm:presLayoutVars>
      </dgm:prSet>
      <dgm:spPr>
        <a:prstGeom prst="rect">
          <a:avLst/>
        </a:prstGeom>
      </dgm:spPr>
      <dgm:t>
        <a:bodyPr/>
        <a:lstStyle/>
        <a:p>
          <a:endParaRPr lang="pl-PL"/>
        </a:p>
      </dgm:t>
    </dgm:pt>
  </dgm:ptLst>
  <dgm:cxnLst>
    <dgm:cxn modelId="{44BCB541-78A2-4A04-A572-8F5B4B624956}" type="presOf" srcId="{3889B7AC-FC5C-4117-9108-1DBB7907DB27}" destId="{4EB06A87-104B-4D7B-B74E-64F41E840791}" srcOrd="0" destOrd="0" presId="urn:microsoft.com/office/officeart/2005/8/layout/bProcess3"/>
    <dgm:cxn modelId="{C37F2429-856B-4FF5-AF38-264E508F1311}" srcId="{21B58F1A-C093-49BD-80AD-2237C0B93827}" destId="{2AA2F992-D948-4173-B3F9-FAFC939DB75F}" srcOrd="5" destOrd="0" parTransId="{FB379B84-9A61-4CCF-AEF2-E31FA67F9F78}" sibTransId="{F93780B9-3EA8-443E-B3CD-C283B196F1E9}"/>
    <dgm:cxn modelId="{5A0A36AC-36CA-4564-800D-9037184AF9F5}" type="presOf" srcId="{F703069E-F835-4EE6-9452-C8199C0C6532}" destId="{2F6BAF2D-8F93-4654-BBED-13667D0135AA}" srcOrd="1" destOrd="0" presId="urn:microsoft.com/office/officeart/2005/8/layout/bProcess3"/>
    <dgm:cxn modelId="{1349025A-A6E7-499B-8C29-A83CC113433C}" srcId="{21B58F1A-C093-49BD-80AD-2237C0B93827}" destId="{7DC8CE68-C540-428B-AC5D-BA15CA19D426}" srcOrd="6" destOrd="0" parTransId="{576F2592-C39B-4109-A12D-E9F0D5304D1F}" sibTransId="{F0B0C3C8-7C88-4349-9FD4-0AB2B92D3E35}"/>
    <dgm:cxn modelId="{7C4587DE-0835-49D6-9431-7E4389B691DD}" type="presOf" srcId="{249749DC-3976-459E-A867-83A5C6855AF2}" destId="{008F0687-D7F2-4342-969A-2ED93B82267A}" srcOrd="0" destOrd="0" presId="urn:microsoft.com/office/officeart/2005/8/layout/bProcess3"/>
    <dgm:cxn modelId="{5415A195-C47B-4D88-A57B-9DBEC822B1F2}" type="presOf" srcId="{2AA2F992-D948-4173-B3F9-FAFC939DB75F}" destId="{FC7FC0A1-948D-4AF5-A11A-F11E01CEB6E6}" srcOrd="0" destOrd="0" presId="urn:microsoft.com/office/officeart/2005/8/layout/bProcess3"/>
    <dgm:cxn modelId="{1AEF477F-5ECA-4F65-BCBE-AA0C4034CA1E}" type="presOf" srcId="{82DA55CC-D716-461F-9211-E28C64D533CB}" destId="{9C4A58B7-167C-4A2D-ABAA-4035CDB6A1E9}" srcOrd="0" destOrd="0" presId="urn:microsoft.com/office/officeart/2005/8/layout/bProcess3"/>
    <dgm:cxn modelId="{05A87FD9-4DE9-41CA-A2F9-0BA264519EC7}" type="presOf" srcId="{F93780B9-3EA8-443E-B3CD-C283B196F1E9}" destId="{C4F4A902-D6F2-42AF-947E-8C1A4B2AC5F3}" srcOrd="0" destOrd="0" presId="urn:microsoft.com/office/officeart/2005/8/layout/bProcess3"/>
    <dgm:cxn modelId="{70E85A1A-5898-48C9-8702-5CC39C99EC0B}" type="presOf" srcId="{1DB48752-69DA-4F11-A9A7-65417E7CBF61}" destId="{645C4BE9-D808-4E48-8919-46F9F49D50CF}" srcOrd="0" destOrd="0" presId="urn:microsoft.com/office/officeart/2005/8/layout/bProcess3"/>
    <dgm:cxn modelId="{DD261488-6003-4A49-9922-C8872ABE06CA}" srcId="{21B58F1A-C093-49BD-80AD-2237C0B93827}" destId="{915FE940-859B-44E2-BD0F-224CA14A2F07}" srcOrd="4" destOrd="0" parTransId="{42120863-074F-4C53-9FA5-08CE2A112473}" sibTransId="{4AD67B6E-71A8-456E-959F-E8FF64566BD3}"/>
    <dgm:cxn modelId="{9827E4A2-0709-4C04-8683-67E123ADBCB4}" srcId="{21B58F1A-C093-49BD-80AD-2237C0B93827}" destId="{AAD1F0B1-C37B-4F2A-A79F-8A9B31304762}" srcOrd="3" destOrd="0" parTransId="{066D36F2-87C7-446C-A230-CDBDC82DAA96}" sibTransId="{249749DC-3976-459E-A867-83A5C6855AF2}"/>
    <dgm:cxn modelId="{E734C1AE-32AA-433B-AB1F-1D22BDCDE611}" type="presOf" srcId="{F93780B9-3EA8-443E-B3CD-C283B196F1E9}" destId="{87834858-952E-4014-A10E-39BE489D7F7D}" srcOrd="1" destOrd="0" presId="urn:microsoft.com/office/officeart/2005/8/layout/bProcess3"/>
    <dgm:cxn modelId="{3905C174-3A5A-4779-8CA7-4CCA6EF4C17D}" type="presOf" srcId="{E46040AC-CDDA-4157-837F-9CDF26B48043}" destId="{88505FE5-94B6-47D9-9F7D-12BACD25D505}" srcOrd="0" destOrd="0" presId="urn:microsoft.com/office/officeart/2005/8/layout/bProcess3"/>
    <dgm:cxn modelId="{7950AB74-A6F6-45EF-9815-1FFBFFAF733D}" srcId="{21B58F1A-C093-49BD-80AD-2237C0B93827}" destId="{CA711396-65AC-47A3-9C01-700E24024588}" srcOrd="1" destOrd="0" parTransId="{67E08EA1-F2AE-4777-9E48-62C6857FD051}" sibTransId="{7FAB89F0-63F7-4D2C-91DC-DD7FABFD15AF}"/>
    <dgm:cxn modelId="{44376D29-359D-47D8-BCBF-86679D03B989}" type="presOf" srcId="{3BCAF7A9-AD4B-4002-9088-7A308F10D4CF}" destId="{9F3325F2-5F7D-40F6-A31B-55EF61D90A30}" srcOrd="1" destOrd="0" presId="urn:microsoft.com/office/officeart/2005/8/layout/bProcess3"/>
    <dgm:cxn modelId="{6CE8BE68-6428-486E-980C-BF3BB3C28640}" type="presOf" srcId="{F703069E-F835-4EE6-9452-C8199C0C6532}" destId="{97049CA0-A6D4-462D-9422-2AAFBE31DA23}" srcOrd="0" destOrd="0" presId="urn:microsoft.com/office/officeart/2005/8/layout/bProcess3"/>
    <dgm:cxn modelId="{D57706CE-31D5-4170-8327-9F7F09E89A43}" srcId="{21B58F1A-C093-49BD-80AD-2237C0B93827}" destId="{4DA62971-7ED2-4EAA-AAFD-B8EF9D4AA1CD}" srcOrd="9" destOrd="0" parTransId="{958CC2E9-A903-4CD8-A1BE-32C509298C78}" sibTransId="{3856FB66-1C48-4E75-913F-6F4438029E14}"/>
    <dgm:cxn modelId="{8B14CB57-7177-40DD-8EB2-572206548CA0}" type="presOf" srcId="{82DA55CC-D716-461F-9211-E28C64D533CB}" destId="{52D5489E-EA2C-48D2-AABB-097060968F56}" srcOrd="1" destOrd="0" presId="urn:microsoft.com/office/officeart/2005/8/layout/bProcess3"/>
    <dgm:cxn modelId="{DD878729-2BC5-4EA4-A37B-0926594673CA}" type="presOf" srcId="{21B58F1A-C093-49BD-80AD-2237C0B93827}" destId="{AAE114E2-8D1A-4FEF-B3DB-E6D0CFE31DF1}" srcOrd="0" destOrd="0" presId="urn:microsoft.com/office/officeart/2005/8/layout/bProcess3"/>
    <dgm:cxn modelId="{9E82E941-3C93-46AD-8DD1-C92A520C8E65}" type="presOf" srcId="{4DA62971-7ED2-4EAA-AAFD-B8EF9D4AA1CD}" destId="{AB30B9DB-22CD-419E-BCA8-82575E54A099}" srcOrd="0" destOrd="0" presId="urn:microsoft.com/office/officeart/2005/8/layout/bProcess3"/>
    <dgm:cxn modelId="{0BB099FA-610C-40E9-916D-268584AC76D6}" type="presOf" srcId="{3BCAF7A9-AD4B-4002-9088-7A308F10D4CF}" destId="{47DA9960-8022-4885-B8A4-DC69E117E4A9}" srcOrd="0" destOrd="0" presId="urn:microsoft.com/office/officeart/2005/8/layout/bProcess3"/>
    <dgm:cxn modelId="{DC542BA5-462A-4BB0-BDF3-B56EE91230B4}" type="presOf" srcId="{7FAB89F0-63F7-4D2C-91DC-DD7FABFD15AF}" destId="{43C4E9A7-B0E2-49D0-B1E0-BB952A7E81BD}" srcOrd="1" destOrd="0" presId="urn:microsoft.com/office/officeart/2005/8/layout/bProcess3"/>
    <dgm:cxn modelId="{D41465AE-84B3-498F-9EC4-39B6A32C3F2E}" type="presOf" srcId="{F0B0C3C8-7C88-4349-9FD4-0AB2B92D3E35}" destId="{3893C878-5A8F-4594-8E65-64AA2BD9B7B4}" srcOrd="0" destOrd="0" presId="urn:microsoft.com/office/officeart/2005/8/layout/bProcess3"/>
    <dgm:cxn modelId="{2F012113-449E-4612-8715-272F1DB2A034}" type="presOf" srcId="{8A51A739-DB56-4C2D-8F94-9B4A31A02C8B}" destId="{5116AAEB-09AA-445A-BF91-52FC1BE5EBBA}" srcOrd="0" destOrd="0" presId="urn:microsoft.com/office/officeart/2005/8/layout/bProcess3"/>
    <dgm:cxn modelId="{FBB0CB5A-115E-4D4B-8B10-ED463B0F66D9}" type="presOf" srcId="{7FAB89F0-63F7-4D2C-91DC-DD7FABFD15AF}" destId="{E381A5EF-45B0-4D75-BAC2-524C5A81FB23}" srcOrd="0" destOrd="0" presId="urn:microsoft.com/office/officeart/2005/8/layout/bProcess3"/>
    <dgm:cxn modelId="{AB0B4C25-1643-457D-BC63-0EE29242D935}" srcId="{21B58F1A-C093-49BD-80AD-2237C0B93827}" destId="{8A51A739-DB56-4C2D-8F94-9B4A31A02C8B}" srcOrd="0" destOrd="0" parTransId="{5A66EB1D-2EE5-410C-9E06-D7ED38D400C7}" sibTransId="{3BCAF7A9-AD4B-4002-9088-7A308F10D4CF}"/>
    <dgm:cxn modelId="{6508D34C-B2D2-4391-A85D-2E9C42B10D63}" srcId="{21B58F1A-C093-49BD-80AD-2237C0B93827}" destId="{1DB48752-69DA-4F11-A9A7-65417E7CBF61}" srcOrd="8" destOrd="0" parTransId="{DF748498-4A96-43EA-9722-98F0BB17761B}" sibTransId="{F703069E-F835-4EE6-9452-C8199C0C6532}"/>
    <dgm:cxn modelId="{4AD9630B-F0C5-4823-836F-F3337B4BCB06}" srcId="{21B58F1A-C093-49BD-80AD-2237C0B93827}" destId="{3889B7AC-FC5C-4117-9108-1DBB7907DB27}" srcOrd="7" destOrd="0" parTransId="{15885172-E49E-4540-A6C8-35F15D5C999D}" sibTransId="{82DA55CC-D716-461F-9211-E28C64D533CB}"/>
    <dgm:cxn modelId="{8651758D-C2A2-452C-A492-00B58C8865EC}" type="presOf" srcId="{4AD67B6E-71A8-456E-959F-E8FF64566BD3}" destId="{F13D9DCC-55A6-4C5A-8EA2-A4F0D45B1FFE}" srcOrd="0" destOrd="0" presId="urn:microsoft.com/office/officeart/2005/8/layout/bProcess3"/>
    <dgm:cxn modelId="{CD48F3DC-17EA-431B-A945-5971CEFB61D7}" type="presOf" srcId="{CA711396-65AC-47A3-9C01-700E24024588}" destId="{BC176433-86C6-4714-954C-C2AD549F0A2C}" srcOrd="0" destOrd="0" presId="urn:microsoft.com/office/officeart/2005/8/layout/bProcess3"/>
    <dgm:cxn modelId="{A860AA25-5F60-4E52-B381-7AA7BEC013BF}" type="presOf" srcId="{9E487AA4-E6AA-4DDD-A440-B0108CD23437}" destId="{9F2F7511-8B82-496D-A1A3-81815594B492}" srcOrd="1" destOrd="0" presId="urn:microsoft.com/office/officeart/2005/8/layout/bProcess3"/>
    <dgm:cxn modelId="{BA9500B5-9B69-41D6-B7C4-7CB77AD84260}" type="presOf" srcId="{9E487AA4-E6AA-4DDD-A440-B0108CD23437}" destId="{7D959D5D-73AE-4AEC-8EA5-C29C93637867}" srcOrd="0" destOrd="0" presId="urn:microsoft.com/office/officeart/2005/8/layout/bProcess3"/>
    <dgm:cxn modelId="{B130514F-2F4F-4DFF-BCA4-9176B7048F71}" type="presOf" srcId="{915FE940-859B-44E2-BD0F-224CA14A2F07}" destId="{5A80C465-5BED-40EE-81C6-13F9281B6074}" srcOrd="0" destOrd="0" presId="urn:microsoft.com/office/officeart/2005/8/layout/bProcess3"/>
    <dgm:cxn modelId="{DD5C46D8-C559-4335-962B-400497969811}" type="presOf" srcId="{AAD1F0B1-C37B-4F2A-A79F-8A9B31304762}" destId="{1B5A1223-2CF7-46EA-BBC0-83517119EA6B}" srcOrd="0" destOrd="0" presId="urn:microsoft.com/office/officeart/2005/8/layout/bProcess3"/>
    <dgm:cxn modelId="{E6E6635E-1E4D-411C-88B9-FDFD3D762601}" srcId="{21B58F1A-C093-49BD-80AD-2237C0B93827}" destId="{E46040AC-CDDA-4157-837F-9CDF26B48043}" srcOrd="2" destOrd="0" parTransId="{973EF31E-177F-4612-B1A1-A49F12BE73DD}" sibTransId="{9E487AA4-E6AA-4DDD-A440-B0108CD23437}"/>
    <dgm:cxn modelId="{42D98131-7692-4724-8BDD-D7C3F89DED90}" type="presOf" srcId="{7DC8CE68-C540-428B-AC5D-BA15CA19D426}" destId="{F666B0F6-174E-4D4E-A0D9-F3C567FAFBF8}" srcOrd="0" destOrd="0" presId="urn:microsoft.com/office/officeart/2005/8/layout/bProcess3"/>
    <dgm:cxn modelId="{4E54B80F-4D3F-47FC-AFB6-9692CFD30474}" type="presOf" srcId="{4AD67B6E-71A8-456E-959F-E8FF64566BD3}" destId="{ED3FFB9D-BF67-4B05-9531-3A1BE5B6F1AA}" srcOrd="1" destOrd="0" presId="urn:microsoft.com/office/officeart/2005/8/layout/bProcess3"/>
    <dgm:cxn modelId="{DBD65496-D46A-41B2-A9C3-322D76CCD4A3}" type="presOf" srcId="{F0B0C3C8-7C88-4349-9FD4-0AB2B92D3E35}" destId="{D0802193-83DE-4127-9B4A-95323B36DF94}" srcOrd="1" destOrd="0" presId="urn:microsoft.com/office/officeart/2005/8/layout/bProcess3"/>
    <dgm:cxn modelId="{A9703CCA-2860-4F95-BC85-4C60CF896F35}" type="presOf" srcId="{249749DC-3976-459E-A867-83A5C6855AF2}" destId="{D56CF2AD-2449-4C0A-BDCF-F7DF993339EF}" srcOrd="1" destOrd="0" presId="urn:microsoft.com/office/officeart/2005/8/layout/bProcess3"/>
    <dgm:cxn modelId="{01C18183-FF56-4288-B448-EECB2D7B100B}" type="presParOf" srcId="{AAE114E2-8D1A-4FEF-B3DB-E6D0CFE31DF1}" destId="{5116AAEB-09AA-445A-BF91-52FC1BE5EBBA}" srcOrd="0" destOrd="0" presId="urn:microsoft.com/office/officeart/2005/8/layout/bProcess3"/>
    <dgm:cxn modelId="{DF92241C-A668-466E-BBD5-9998E963CE12}" type="presParOf" srcId="{AAE114E2-8D1A-4FEF-B3DB-E6D0CFE31DF1}" destId="{47DA9960-8022-4885-B8A4-DC69E117E4A9}" srcOrd="1" destOrd="0" presId="urn:microsoft.com/office/officeart/2005/8/layout/bProcess3"/>
    <dgm:cxn modelId="{6916BB91-C877-4BDD-B6D7-335DE78B3BE9}" type="presParOf" srcId="{47DA9960-8022-4885-B8A4-DC69E117E4A9}" destId="{9F3325F2-5F7D-40F6-A31B-55EF61D90A30}" srcOrd="0" destOrd="0" presId="urn:microsoft.com/office/officeart/2005/8/layout/bProcess3"/>
    <dgm:cxn modelId="{C77684CD-B090-4AA5-AC64-718EA5E58AB6}" type="presParOf" srcId="{AAE114E2-8D1A-4FEF-B3DB-E6D0CFE31DF1}" destId="{BC176433-86C6-4714-954C-C2AD549F0A2C}" srcOrd="2" destOrd="0" presId="urn:microsoft.com/office/officeart/2005/8/layout/bProcess3"/>
    <dgm:cxn modelId="{41EA238B-55AD-41E2-874B-9464A81A7863}" type="presParOf" srcId="{AAE114E2-8D1A-4FEF-B3DB-E6D0CFE31DF1}" destId="{E381A5EF-45B0-4D75-BAC2-524C5A81FB23}" srcOrd="3" destOrd="0" presId="urn:microsoft.com/office/officeart/2005/8/layout/bProcess3"/>
    <dgm:cxn modelId="{08D4FB1E-D576-4A1F-BC7B-D26F87CF80F4}" type="presParOf" srcId="{E381A5EF-45B0-4D75-BAC2-524C5A81FB23}" destId="{43C4E9A7-B0E2-49D0-B1E0-BB952A7E81BD}" srcOrd="0" destOrd="0" presId="urn:microsoft.com/office/officeart/2005/8/layout/bProcess3"/>
    <dgm:cxn modelId="{FCBF1F3A-E0DC-4CC5-BC70-EBFD7DC7114D}" type="presParOf" srcId="{AAE114E2-8D1A-4FEF-B3DB-E6D0CFE31DF1}" destId="{88505FE5-94B6-47D9-9F7D-12BACD25D505}" srcOrd="4" destOrd="0" presId="urn:microsoft.com/office/officeart/2005/8/layout/bProcess3"/>
    <dgm:cxn modelId="{A6041F05-7EA3-41AE-949D-DE93FD4CBBAD}" type="presParOf" srcId="{AAE114E2-8D1A-4FEF-B3DB-E6D0CFE31DF1}" destId="{7D959D5D-73AE-4AEC-8EA5-C29C93637867}" srcOrd="5" destOrd="0" presId="urn:microsoft.com/office/officeart/2005/8/layout/bProcess3"/>
    <dgm:cxn modelId="{E0D4BC37-9F0B-4A29-9D99-5FDEEE54C301}" type="presParOf" srcId="{7D959D5D-73AE-4AEC-8EA5-C29C93637867}" destId="{9F2F7511-8B82-496D-A1A3-81815594B492}" srcOrd="0" destOrd="0" presId="urn:microsoft.com/office/officeart/2005/8/layout/bProcess3"/>
    <dgm:cxn modelId="{3267E721-8C3F-4BF7-BB47-0FEBE85FF9C9}" type="presParOf" srcId="{AAE114E2-8D1A-4FEF-B3DB-E6D0CFE31DF1}" destId="{1B5A1223-2CF7-46EA-BBC0-83517119EA6B}" srcOrd="6" destOrd="0" presId="urn:microsoft.com/office/officeart/2005/8/layout/bProcess3"/>
    <dgm:cxn modelId="{FD75758F-87A4-46D3-B7AE-135143699322}" type="presParOf" srcId="{AAE114E2-8D1A-4FEF-B3DB-E6D0CFE31DF1}" destId="{008F0687-D7F2-4342-969A-2ED93B82267A}" srcOrd="7" destOrd="0" presId="urn:microsoft.com/office/officeart/2005/8/layout/bProcess3"/>
    <dgm:cxn modelId="{181A729B-09A1-4409-9B2A-6A7DAF28C5E1}" type="presParOf" srcId="{008F0687-D7F2-4342-969A-2ED93B82267A}" destId="{D56CF2AD-2449-4C0A-BDCF-F7DF993339EF}" srcOrd="0" destOrd="0" presId="urn:microsoft.com/office/officeart/2005/8/layout/bProcess3"/>
    <dgm:cxn modelId="{E9B1FB49-B321-40A2-906A-079464693ABA}" type="presParOf" srcId="{AAE114E2-8D1A-4FEF-B3DB-E6D0CFE31DF1}" destId="{5A80C465-5BED-40EE-81C6-13F9281B6074}" srcOrd="8" destOrd="0" presId="urn:microsoft.com/office/officeart/2005/8/layout/bProcess3"/>
    <dgm:cxn modelId="{A5EADDED-337C-45DB-80FB-CEBA06A79D4F}" type="presParOf" srcId="{AAE114E2-8D1A-4FEF-B3DB-E6D0CFE31DF1}" destId="{F13D9DCC-55A6-4C5A-8EA2-A4F0D45B1FFE}" srcOrd="9" destOrd="0" presId="urn:microsoft.com/office/officeart/2005/8/layout/bProcess3"/>
    <dgm:cxn modelId="{07C9B011-D0FF-447B-8C1C-9B05CF51465B}" type="presParOf" srcId="{F13D9DCC-55A6-4C5A-8EA2-A4F0D45B1FFE}" destId="{ED3FFB9D-BF67-4B05-9531-3A1BE5B6F1AA}" srcOrd="0" destOrd="0" presId="urn:microsoft.com/office/officeart/2005/8/layout/bProcess3"/>
    <dgm:cxn modelId="{E059FCB4-BB4B-4014-867D-E1FAEAC00784}" type="presParOf" srcId="{AAE114E2-8D1A-4FEF-B3DB-E6D0CFE31DF1}" destId="{FC7FC0A1-948D-4AF5-A11A-F11E01CEB6E6}" srcOrd="10" destOrd="0" presId="urn:microsoft.com/office/officeart/2005/8/layout/bProcess3"/>
    <dgm:cxn modelId="{68F425B3-DE42-4A10-9E41-0AAD5CCFFEBA}" type="presParOf" srcId="{AAE114E2-8D1A-4FEF-B3DB-E6D0CFE31DF1}" destId="{C4F4A902-D6F2-42AF-947E-8C1A4B2AC5F3}" srcOrd="11" destOrd="0" presId="urn:microsoft.com/office/officeart/2005/8/layout/bProcess3"/>
    <dgm:cxn modelId="{8F564EB3-C3C7-4B5C-82D9-674C6E5BA742}" type="presParOf" srcId="{C4F4A902-D6F2-42AF-947E-8C1A4B2AC5F3}" destId="{87834858-952E-4014-A10E-39BE489D7F7D}" srcOrd="0" destOrd="0" presId="urn:microsoft.com/office/officeart/2005/8/layout/bProcess3"/>
    <dgm:cxn modelId="{41C72EF2-B4AF-4F9F-B889-15BEF2C20551}" type="presParOf" srcId="{AAE114E2-8D1A-4FEF-B3DB-E6D0CFE31DF1}" destId="{F666B0F6-174E-4D4E-A0D9-F3C567FAFBF8}" srcOrd="12" destOrd="0" presId="urn:microsoft.com/office/officeart/2005/8/layout/bProcess3"/>
    <dgm:cxn modelId="{F0F5F6A7-B452-44D8-8592-525FE2AAABE0}" type="presParOf" srcId="{AAE114E2-8D1A-4FEF-B3DB-E6D0CFE31DF1}" destId="{3893C878-5A8F-4594-8E65-64AA2BD9B7B4}" srcOrd="13" destOrd="0" presId="urn:microsoft.com/office/officeart/2005/8/layout/bProcess3"/>
    <dgm:cxn modelId="{55AED169-7C51-49F1-9E45-E074EC1957DB}" type="presParOf" srcId="{3893C878-5A8F-4594-8E65-64AA2BD9B7B4}" destId="{D0802193-83DE-4127-9B4A-95323B36DF94}" srcOrd="0" destOrd="0" presId="urn:microsoft.com/office/officeart/2005/8/layout/bProcess3"/>
    <dgm:cxn modelId="{C417F4E8-0937-43CC-8DA5-F6E04B422A5F}" type="presParOf" srcId="{AAE114E2-8D1A-4FEF-B3DB-E6D0CFE31DF1}" destId="{4EB06A87-104B-4D7B-B74E-64F41E840791}" srcOrd="14" destOrd="0" presId="urn:microsoft.com/office/officeart/2005/8/layout/bProcess3"/>
    <dgm:cxn modelId="{299C5C9C-7470-4DD7-B21B-33F837BB13D1}" type="presParOf" srcId="{AAE114E2-8D1A-4FEF-B3DB-E6D0CFE31DF1}" destId="{9C4A58B7-167C-4A2D-ABAA-4035CDB6A1E9}" srcOrd="15" destOrd="0" presId="urn:microsoft.com/office/officeart/2005/8/layout/bProcess3"/>
    <dgm:cxn modelId="{B8646A73-AC1B-477E-9D32-46D65E7A5FB6}" type="presParOf" srcId="{9C4A58B7-167C-4A2D-ABAA-4035CDB6A1E9}" destId="{52D5489E-EA2C-48D2-AABB-097060968F56}" srcOrd="0" destOrd="0" presId="urn:microsoft.com/office/officeart/2005/8/layout/bProcess3"/>
    <dgm:cxn modelId="{207A2F79-48E7-4AF9-B942-561E3D6A53ED}" type="presParOf" srcId="{AAE114E2-8D1A-4FEF-B3DB-E6D0CFE31DF1}" destId="{645C4BE9-D808-4E48-8919-46F9F49D50CF}" srcOrd="16" destOrd="0" presId="urn:microsoft.com/office/officeart/2005/8/layout/bProcess3"/>
    <dgm:cxn modelId="{B1F7B5EA-47AD-485E-AB1C-EF8567A58ABE}" type="presParOf" srcId="{AAE114E2-8D1A-4FEF-B3DB-E6D0CFE31DF1}" destId="{97049CA0-A6D4-462D-9422-2AAFBE31DA23}" srcOrd="17" destOrd="0" presId="urn:microsoft.com/office/officeart/2005/8/layout/bProcess3"/>
    <dgm:cxn modelId="{88599BD8-44B0-4D0D-9291-41177991326E}" type="presParOf" srcId="{97049CA0-A6D4-462D-9422-2AAFBE31DA23}" destId="{2F6BAF2D-8F93-4654-BBED-13667D0135AA}" srcOrd="0" destOrd="0" presId="urn:microsoft.com/office/officeart/2005/8/layout/bProcess3"/>
    <dgm:cxn modelId="{8D24C93C-EBF0-4B2E-9895-A35F985E359B}" type="presParOf" srcId="{AAE114E2-8D1A-4FEF-B3DB-E6D0CFE31DF1}" destId="{AB30B9DB-22CD-419E-BCA8-82575E54A099}" srcOrd="18" destOrd="0" presId="urn:microsoft.com/office/officeart/2005/8/layout/bProcess3"/>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D020722-8F80-4119-87A3-4DA58FA6899D}" type="doc">
      <dgm:prSet loTypeId="urn:microsoft.com/office/officeart/2005/8/layout/bProcess3" loCatId="process" qsTypeId="urn:microsoft.com/office/officeart/2005/8/quickstyle/simple4" qsCatId="simple" csTypeId="urn:microsoft.com/office/officeart/2005/8/colors/accent1_2" csCatId="accent1" phldr="1"/>
      <dgm:spPr/>
      <dgm:t>
        <a:bodyPr/>
        <a:lstStyle/>
        <a:p>
          <a:endParaRPr lang="pl-PL"/>
        </a:p>
      </dgm:t>
    </dgm:pt>
    <dgm:pt modelId="{5BA84521-64AB-4820-B893-4DBE374A030D}">
      <dgm:prSet phldrT="[Tekst]" custT="1"/>
      <dgm:spPr>
        <a:solidFill>
          <a:srgbClr val="BFD8D8"/>
        </a:solidFill>
      </dgm:spPr>
      <dgm:t>
        <a:bodyPr/>
        <a:lstStyle/>
        <a:p>
          <a:r>
            <a:rPr lang="pl-PL" sz="800">
              <a:solidFill>
                <a:sysClr val="windowText" lastClr="000000"/>
              </a:solidFill>
              <a:latin typeface="Century Gothic" panose="020B0502020202020204" pitchFamily="34" charset="0"/>
            </a:rPr>
            <a:t>Przedsiębiorca poszukuje i wybiera odpowiednią usługę/ usługi rozwojowe w BUR</a:t>
          </a:r>
        </a:p>
      </dgm:t>
    </dgm:pt>
    <dgm:pt modelId="{98179F87-78CF-4498-A16D-08EA8B753BDB}" type="parTrans" cxnId="{AF002CCB-3924-4D47-B176-1922B21A7365}">
      <dgm:prSet/>
      <dgm:spPr/>
      <dgm:t>
        <a:bodyPr/>
        <a:lstStyle/>
        <a:p>
          <a:endParaRPr lang="pl-PL" sz="800">
            <a:solidFill>
              <a:sysClr val="windowText" lastClr="000000"/>
            </a:solidFill>
            <a:latin typeface="Century Gothic" panose="020B0502020202020204" pitchFamily="34" charset="0"/>
          </a:endParaRPr>
        </a:p>
      </dgm:t>
    </dgm:pt>
    <dgm:pt modelId="{7D9EDA60-F55E-495F-AE98-37309DC21C90}" type="sibTrans" cxnId="{AF002CCB-3924-4D47-B176-1922B21A7365}">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B49494DB-6049-4D8D-B84C-BC16BD2EFBE7}">
      <dgm:prSet custT="1"/>
      <dgm:spPr>
        <a:solidFill>
          <a:srgbClr val="BFD8D8"/>
        </a:solidFill>
      </dgm:spPr>
      <dgm:t>
        <a:bodyPr/>
        <a:lstStyle/>
        <a:p>
          <a:r>
            <a:rPr lang="pl-PL" sz="800">
              <a:solidFill>
                <a:sysClr val="windowText" lastClr="000000"/>
              </a:solidFill>
              <a:latin typeface="Century Gothic" panose="020B0502020202020204" pitchFamily="34" charset="0"/>
            </a:rPr>
            <a:t>Usługi rozwojowe są realizowane na rzecz Przedsiębiorcy/ delegowanych pracowników</a:t>
          </a:r>
        </a:p>
      </dgm:t>
    </dgm:pt>
    <dgm:pt modelId="{4B6D5562-F690-4954-8A78-ED93BE6BC2A3}" type="parTrans" cxnId="{E0EFC948-308F-4585-949E-C1263A934C76}">
      <dgm:prSet/>
      <dgm:spPr/>
      <dgm:t>
        <a:bodyPr/>
        <a:lstStyle/>
        <a:p>
          <a:endParaRPr lang="pl-PL" sz="800">
            <a:solidFill>
              <a:sysClr val="windowText" lastClr="000000"/>
            </a:solidFill>
            <a:latin typeface="Century Gothic" panose="020B0502020202020204" pitchFamily="34" charset="0"/>
          </a:endParaRPr>
        </a:p>
      </dgm:t>
    </dgm:pt>
    <dgm:pt modelId="{172C06C6-C9E2-4E09-9887-0CF5A33EA703}" type="sibTrans" cxnId="{E0EFC948-308F-4585-949E-C1263A934C76}">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A17B80B7-1934-4681-ACF3-35870C799277}">
      <dgm:prSet custT="1"/>
      <dgm:spPr>
        <a:solidFill>
          <a:srgbClr val="BFD8D8"/>
        </a:solidFill>
      </dgm:spPr>
      <dgm:t>
        <a:bodyPr/>
        <a:lstStyle/>
        <a:p>
          <a:r>
            <a:rPr lang="pl-PL" sz="800">
              <a:solidFill>
                <a:sysClr val="windowText" lastClr="000000"/>
              </a:solidFill>
              <a:latin typeface="Century Gothic" panose="020B0502020202020204" pitchFamily="34" charset="0"/>
            </a:rPr>
            <a:t>Po zakończeniu usługi przedsiębiorca/ delegowani pracownicy wypełniają ankietę  w BUR</a:t>
          </a:r>
          <a:br>
            <a:rPr lang="pl-PL" sz="800">
              <a:solidFill>
                <a:sysClr val="windowText" lastClr="000000"/>
              </a:solidFill>
              <a:latin typeface="Century Gothic" panose="020B0502020202020204" pitchFamily="34" charset="0"/>
            </a:rPr>
          </a:br>
          <a:endParaRPr lang="pl-PL" sz="800">
            <a:solidFill>
              <a:sysClr val="windowText" lastClr="000000"/>
            </a:solidFill>
            <a:latin typeface="Century Gothic" panose="020B0502020202020204" pitchFamily="34" charset="0"/>
          </a:endParaRPr>
        </a:p>
      </dgm:t>
    </dgm:pt>
    <dgm:pt modelId="{0718D7A4-E148-40F3-92E0-725191A6653E}" type="parTrans" cxnId="{4318FFC0-21D3-47CD-880D-F40742D7C249}">
      <dgm:prSet/>
      <dgm:spPr/>
      <dgm:t>
        <a:bodyPr/>
        <a:lstStyle/>
        <a:p>
          <a:endParaRPr lang="pl-PL" sz="800">
            <a:solidFill>
              <a:sysClr val="windowText" lastClr="000000"/>
            </a:solidFill>
            <a:latin typeface="Century Gothic" panose="020B0502020202020204" pitchFamily="34" charset="0"/>
          </a:endParaRPr>
        </a:p>
      </dgm:t>
    </dgm:pt>
    <dgm:pt modelId="{2D8873E6-AB4A-4C94-B41B-DE7F3812C571}" type="sibTrans" cxnId="{4318FFC0-21D3-47CD-880D-F40742D7C249}">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29A731B8-8BC2-4BC3-9FC4-8C228741866C}">
      <dgm:prSet custT="1"/>
      <dgm:spPr>
        <a:solidFill>
          <a:srgbClr val="BFD8D8"/>
        </a:solidFill>
      </dgm:spPr>
      <dgm:t>
        <a:bodyPr/>
        <a:lstStyle/>
        <a:p>
          <a:r>
            <a:rPr lang="pl-PL" sz="800">
              <a:solidFill>
                <a:sysClr val="windowText" lastClr="000000"/>
              </a:solidFill>
              <a:latin typeface="Century Gothic" panose="020B0502020202020204" pitchFamily="34" charset="0"/>
            </a:rPr>
            <a:t>Podmiot realizujący usługę rozwojową wystawia fakturę dla przedsiębiorcy korzystającego z usługi</a:t>
          </a:r>
        </a:p>
      </dgm:t>
    </dgm:pt>
    <dgm:pt modelId="{2F77BB9B-39F9-4F5B-9BFF-818B5E6090F7}" type="parTrans" cxnId="{19F150EA-7F60-481A-A1FB-B37ADBB7AB0D}">
      <dgm:prSet/>
      <dgm:spPr/>
      <dgm:t>
        <a:bodyPr/>
        <a:lstStyle/>
        <a:p>
          <a:endParaRPr lang="pl-PL" sz="800">
            <a:solidFill>
              <a:sysClr val="windowText" lastClr="000000"/>
            </a:solidFill>
            <a:latin typeface="Century Gothic" panose="020B0502020202020204" pitchFamily="34" charset="0"/>
          </a:endParaRPr>
        </a:p>
      </dgm:t>
    </dgm:pt>
    <dgm:pt modelId="{50F1E851-48AE-4B65-A753-B5D067F7B6D8}" type="sibTrans" cxnId="{19F150EA-7F60-481A-A1FB-B37ADBB7AB0D}">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93802B36-8271-44A3-9BC2-6FC41F8C4D94}">
      <dgm:prSet custT="1"/>
      <dgm:spPr>
        <a:solidFill>
          <a:srgbClr val="BFD8D8"/>
        </a:solidFill>
      </dgm:spPr>
      <dgm:t>
        <a:bodyPr/>
        <a:lstStyle/>
        <a:p>
          <a:r>
            <a:rPr lang="pl-PL" sz="800">
              <a:solidFill>
                <a:sysClr val="windowText" lastClr="000000"/>
              </a:solidFill>
              <a:latin typeface="Century Gothic" panose="020B0502020202020204" pitchFamily="34" charset="0"/>
            </a:rPr>
            <a:t>Operator weryfikuje czy dane zawarte we Wniosku o rozliczenie usług rozwojowych </a:t>
          </a:r>
          <a:r>
            <a:rPr lang="pl-PL" sz="800" b="0">
              <a:solidFill>
                <a:sysClr val="windowText" lastClr="000000"/>
              </a:solidFill>
              <a:latin typeface="Century Gothic" panose="020B0502020202020204" pitchFamily="34" charset="0"/>
            </a:rPr>
            <a:t>wraz z pozostałymi dokumentami rozliczeniowymi wymaganymi przy ubieganiu się o dofinansowanie </a:t>
          </a:r>
          <a:r>
            <a:rPr lang="pl-PL" sz="800">
              <a:solidFill>
                <a:sysClr val="windowText" lastClr="000000"/>
              </a:solidFill>
              <a:latin typeface="Century Gothic" panose="020B0502020202020204" pitchFamily="34" charset="0"/>
            </a:rPr>
            <a:t>są zgodne z zapisami dotyczącymi usług w BUR</a:t>
          </a:r>
        </a:p>
      </dgm:t>
    </dgm:pt>
    <dgm:pt modelId="{9FDBBCE8-4AEA-48B7-827F-9E94101CBA56}" type="parTrans" cxnId="{ADC3A17C-873C-4ED7-88BA-C5C47D903D6D}">
      <dgm:prSet/>
      <dgm:spPr/>
      <dgm:t>
        <a:bodyPr/>
        <a:lstStyle/>
        <a:p>
          <a:endParaRPr lang="pl-PL" sz="800">
            <a:solidFill>
              <a:sysClr val="windowText" lastClr="000000"/>
            </a:solidFill>
            <a:latin typeface="Century Gothic" panose="020B0502020202020204" pitchFamily="34" charset="0"/>
          </a:endParaRPr>
        </a:p>
      </dgm:t>
    </dgm:pt>
    <dgm:pt modelId="{2F15A092-32EF-495B-ABDD-D33AB42DC177}" type="sibTrans" cxnId="{ADC3A17C-873C-4ED7-88BA-C5C47D903D6D}">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5FE0D7E0-295B-4AF5-A03D-391A65780E03}">
      <dgm:prSet custT="1"/>
      <dgm:spPr>
        <a:solidFill>
          <a:srgbClr val="BFD8D8"/>
        </a:solidFill>
      </dgm:spPr>
      <dgm:t>
        <a:bodyPr/>
        <a:lstStyle/>
        <a:p>
          <a:r>
            <a:rPr lang="pl-PL" sz="800">
              <a:solidFill>
                <a:sysClr val="windowText" lastClr="000000"/>
              </a:solidFill>
              <a:latin typeface="Century Gothic" panose="020B0502020202020204" pitchFamily="34" charset="0"/>
            </a:rPr>
            <a:t>Operator wylicza wysokość wkładu własnego wymaganą dla wybranej usługi od kwoty netto (VAT jest niekwalifikowalny)</a:t>
          </a:r>
        </a:p>
        <a:p>
          <a:endParaRPr lang="pl-PL" sz="800">
            <a:solidFill>
              <a:sysClr val="windowText" lastClr="000000"/>
            </a:solidFill>
            <a:latin typeface="Century Gothic" panose="020B0502020202020204" pitchFamily="34" charset="0"/>
          </a:endParaRPr>
        </a:p>
      </dgm:t>
    </dgm:pt>
    <dgm:pt modelId="{152DD13F-4737-4AF5-8F17-8560F969EED9}" type="parTrans" cxnId="{ECF28B22-E169-4B93-A4B3-AE10E9689870}">
      <dgm:prSet/>
      <dgm:spPr/>
      <dgm:t>
        <a:bodyPr/>
        <a:lstStyle/>
        <a:p>
          <a:endParaRPr lang="pl-PL" sz="800">
            <a:solidFill>
              <a:sysClr val="windowText" lastClr="000000"/>
            </a:solidFill>
            <a:latin typeface="Century Gothic" panose="020B0502020202020204" pitchFamily="34" charset="0"/>
          </a:endParaRPr>
        </a:p>
      </dgm:t>
    </dgm:pt>
    <dgm:pt modelId="{73B95C64-EC35-4E51-AA4A-72C7C62F2BE9}" type="sibTrans" cxnId="{ECF28B22-E169-4B93-A4B3-AE10E9689870}">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32956A38-32C0-4500-AA55-4CC506BF32C9}">
      <dgm:prSet custT="1"/>
      <dgm:spPr>
        <a:solidFill>
          <a:srgbClr val="BFD8D8"/>
        </a:solidFill>
      </dgm:spPr>
      <dgm:t>
        <a:bodyPr/>
        <a:lstStyle/>
        <a:p>
          <a:r>
            <a:rPr lang="pl-PL" sz="800">
              <a:solidFill>
                <a:sysClr val="windowText" lastClr="000000"/>
              </a:solidFill>
              <a:latin typeface="Century Gothic" panose="020B0502020202020204" pitchFamily="34" charset="0"/>
            </a:rPr>
            <a:t>Operator dokonuje płatności na rzecz podmiotu realizującego usługę rozwojową i/lub zwraca środki</a:t>
          </a:r>
        </a:p>
      </dgm:t>
    </dgm:pt>
    <dgm:pt modelId="{46702447-5EC4-4C39-B5AB-2494135DEFD0}" type="parTrans" cxnId="{05C60E73-DC84-41E3-8A2F-D93C403F5D44}">
      <dgm:prSet/>
      <dgm:spPr/>
      <dgm:t>
        <a:bodyPr/>
        <a:lstStyle/>
        <a:p>
          <a:endParaRPr lang="pl-PL" sz="800">
            <a:solidFill>
              <a:sysClr val="windowText" lastClr="000000"/>
            </a:solidFill>
            <a:latin typeface="Century Gothic" panose="020B0502020202020204" pitchFamily="34" charset="0"/>
          </a:endParaRPr>
        </a:p>
      </dgm:t>
    </dgm:pt>
    <dgm:pt modelId="{FA473098-9AFA-47E8-A93E-7E3403A2952B}" type="sibTrans" cxnId="{05C60E73-DC84-41E3-8A2F-D93C403F5D44}">
      <dgm:prSet/>
      <dgm:spPr/>
      <dgm:t>
        <a:bodyPr/>
        <a:lstStyle/>
        <a:p>
          <a:endParaRPr lang="pl-PL" sz="800">
            <a:solidFill>
              <a:sysClr val="windowText" lastClr="000000"/>
            </a:solidFill>
            <a:latin typeface="Century Gothic" panose="020B0502020202020204" pitchFamily="34" charset="0"/>
          </a:endParaRPr>
        </a:p>
      </dgm:t>
    </dgm:pt>
    <dgm:pt modelId="{39A42C2F-26CA-4FB0-A9FA-D515F2486883}">
      <dgm:prSet custT="1"/>
      <dgm:spPr>
        <a:solidFill>
          <a:srgbClr val="BFD8D8"/>
        </a:solidFill>
      </dgm:spPr>
      <dgm:t>
        <a:bodyPr/>
        <a:lstStyle/>
        <a:p>
          <a:r>
            <a:rPr lang="pl-PL" sz="800">
              <a:solidFill>
                <a:sysClr val="windowText" lastClr="000000"/>
              </a:solidFill>
              <a:latin typeface="Century Gothic" panose="020B0502020202020204" pitchFamily="34" charset="0"/>
            </a:rPr>
            <a:t>Przedsiębiorca przekazuje Operatorowi Wniosek o rozliczenie usług rozwojowych wraz z załącznikami</a:t>
          </a:r>
          <a:br>
            <a:rPr lang="pl-PL" sz="800">
              <a:solidFill>
                <a:sysClr val="windowText" lastClr="000000"/>
              </a:solidFill>
              <a:latin typeface="Century Gothic" panose="020B0502020202020204" pitchFamily="34" charset="0"/>
            </a:rPr>
          </a:br>
          <a:endParaRPr lang="pl-PL" sz="800">
            <a:solidFill>
              <a:sysClr val="windowText" lastClr="000000"/>
            </a:solidFill>
            <a:latin typeface="Century Gothic" panose="020B0502020202020204" pitchFamily="34" charset="0"/>
          </a:endParaRPr>
        </a:p>
      </dgm:t>
    </dgm:pt>
    <dgm:pt modelId="{51F80B17-49C9-4E78-9DBE-E1B6944F5A5A}" type="parTrans" cxnId="{2FAE7467-0EE7-47B4-BD39-56DA39A9259B}">
      <dgm:prSet/>
      <dgm:spPr/>
      <dgm:t>
        <a:bodyPr/>
        <a:lstStyle/>
        <a:p>
          <a:endParaRPr lang="pl-PL" sz="800">
            <a:solidFill>
              <a:sysClr val="windowText" lastClr="000000"/>
            </a:solidFill>
            <a:latin typeface="Century Gothic" panose="020B0502020202020204" pitchFamily="34" charset="0"/>
          </a:endParaRPr>
        </a:p>
      </dgm:t>
    </dgm:pt>
    <dgm:pt modelId="{FA72986C-E070-4554-887B-6601065688B9}" type="sibTrans" cxnId="{2FAE7467-0EE7-47B4-BD39-56DA39A9259B}">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D01C8030-3B0C-4D31-AA96-A00E640B4760}">
      <dgm:prSet custT="1"/>
      <dgm:spPr>
        <a:solidFill>
          <a:srgbClr val="BFD8D8"/>
        </a:solidFill>
      </dgm:spPr>
      <dgm:t>
        <a:bodyPr/>
        <a:lstStyle/>
        <a:p>
          <a:r>
            <a:rPr lang="pl-PL" sz="800">
              <a:solidFill>
                <a:sysClr val="windowText" lastClr="000000"/>
              </a:solidFill>
              <a:latin typeface="Century Gothic" panose="020B0502020202020204" pitchFamily="34" charset="0"/>
            </a:rPr>
            <a:t>Przedsiębiorca wpłaca na konto Operatora:</a:t>
          </a:r>
        </a:p>
        <a:p>
          <a:r>
            <a:rPr lang="pl-PL" sz="800">
              <a:solidFill>
                <a:sysClr val="windowText" lastClr="000000"/>
              </a:solidFill>
              <a:latin typeface="Century Gothic" panose="020B0502020202020204" pitchFamily="34" charset="0"/>
            </a:rPr>
            <a:t>- wkład własny</a:t>
          </a:r>
        </a:p>
        <a:p>
          <a:r>
            <a:rPr lang="pl-PL" sz="800">
              <a:solidFill>
                <a:sysClr val="windowText" lastClr="000000"/>
              </a:solidFill>
              <a:latin typeface="Century Gothic" panose="020B0502020202020204" pitchFamily="34" charset="0"/>
            </a:rPr>
            <a:t>- kwotę podatku VAT</a:t>
          </a:r>
        </a:p>
      </dgm:t>
    </dgm:pt>
    <dgm:pt modelId="{236C2AB7-CFE7-4124-8316-35F44CB3030C}" type="sibTrans" cxnId="{C6B2F858-06D3-43B8-B898-2AB2965EA6B0}">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8D9DDBD2-28E7-4090-AA8E-FF6E953811E6}" type="parTrans" cxnId="{C6B2F858-06D3-43B8-B898-2AB2965EA6B0}">
      <dgm:prSet/>
      <dgm:spPr/>
      <dgm:t>
        <a:bodyPr/>
        <a:lstStyle/>
        <a:p>
          <a:endParaRPr lang="pl-PL" sz="800">
            <a:solidFill>
              <a:sysClr val="windowText" lastClr="000000"/>
            </a:solidFill>
            <a:latin typeface="Century Gothic" panose="020B0502020202020204" pitchFamily="34" charset="0"/>
          </a:endParaRPr>
        </a:p>
      </dgm:t>
    </dgm:pt>
    <dgm:pt modelId="{A86D167B-8A09-4C44-8E23-93C5CD3FE4F3}">
      <dgm:prSet custT="1"/>
      <dgm:spPr>
        <a:solidFill>
          <a:srgbClr val="BFD8D8"/>
        </a:solidFill>
      </dgm:spPr>
      <dgm:t>
        <a:bodyPr/>
        <a:lstStyle/>
        <a:p>
          <a:r>
            <a:rPr lang="pl-PL" sz="800">
              <a:solidFill>
                <a:sysClr val="windowText" lastClr="000000"/>
              </a:solidFill>
              <a:latin typeface="Century Gothic" panose="020B0502020202020204" pitchFamily="34" charset="0"/>
            </a:rPr>
            <a:t>Operator tworzy zapisy na koncie przedpłaconym, przypisanym do przedsiębiorcy</a:t>
          </a:r>
        </a:p>
      </dgm:t>
    </dgm:pt>
    <dgm:pt modelId="{C05DC28A-EEB6-45ED-9800-E5A8F97C3759}" type="parTrans" cxnId="{86A085C2-71CE-4448-B89A-29110CDA7AA2}">
      <dgm:prSet/>
      <dgm:spPr/>
      <dgm:t>
        <a:bodyPr/>
        <a:lstStyle/>
        <a:p>
          <a:endParaRPr lang="pl-PL" sz="800">
            <a:solidFill>
              <a:sysClr val="windowText" lastClr="000000"/>
            </a:solidFill>
            <a:latin typeface="Century Gothic" panose="020B0502020202020204" pitchFamily="34" charset="0"/>
          </a:endParaRPr>
        </a:p>
      </dgm:t>
    </dgm:pt>
    <dgm:pt modelId="{507E80F0-DAC5-4D84-9ED2-76A43B85AC46}" type="sibTrans" cxnId="{86A085C2-71CE-4448-B89A-29110CDA7AA2}">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08E070E7-B16D-4CE9-8948-9E19FBEFFA38}">
      <dgm:prSet custT="1"/>
      <dgm:spPr>
        <a:solidFill>
          <a:srgbClr val="BFD8D8"/>
        </a:solidFill>
      </dgm:spPr>
      <dgm:t>
        <a:bodyPr/>
        <a:lstStyle/>
        <a:p>
          <a:r>
            <a:rPr lang="pl-PL" sz="800">
              <a:solidFill>
                <a:sysClr val="windowText" lastClr="000000"/>
              </a:solidFill>
              <a:latin typeface="Century Gothic" panose="020B0502020202020204" pitchFamily="34" charset="0"/>
            </a:rPr>
            <a:t>Przedsiębiorca podpisuje umowę wsparcia z Operatorem. Wraz  z zawarciem umowy nadawany jest numer ID wsparcia </a:t>
          </a:r>
        </a:p>
      </dgm:t>
    </dgm:pt>
    <dgm:pt modelId="{0E23EBB3-FA0A-4081-9764-BBA54423861D}" type="parTrans" cxnId="{1258907E-AEC0-4BA7-BC42-A0BFE674093E}">
      <dgm:prSet/>
      <dgm:spPr/>
      <dgm:t>
        <a:bodyPr/>
        <a:lstStyle/>
        <a:p>
          <a:endParaRPr lang="pl-PL" sz="800">
            <a:solidFill>
              <a:sysClr val="windowText" lastClr="000000"/>
            </a:solidFill>
            <a:latin typeface="Century Gothic" panose="020B0502020202020204" pitchFamily="34" charset="0"/>
          </a:endParaRPr>
        </a:p>
      </dgm:t>
    </dgm:pt>
    <dgm:pt modelId="{7C971C9C-7F43-4700-A2D6-9E822EC0A9E7}" type="sibTrans" cxnId="{1258907E-AEC0-4BA7-BC42-A0BFE674093E}">
      <dgm:prSet custT="1"/>
      <dgm:spPr>
        <a:ln>
          <a:solidFill>
            <a:srgbClr val="BFD8D8"/>
          </a:solidFill>
        </a:ln>
      </dgm:spPr>
      <dgm:t>
        <a:bodyPr/>
        <a:lstStyle/>
        <a:p>
          <a:endParaRPr lang="pl-PL" sz="800">
            <a:solidFill>
              <a:sysClr val="windowText" lastClr="000000"/>
            </a:solidFill>
            <a:latin typeface="Century Gothic" panose="020B0502020202020204" pitchFamily="34" charset="0"/>
          </a:endParaRPr>
        </a:p>
      </dgm:t>
    </dgm:pt>
    <dgm:pt modelId="{ADCC2D19-2071-48E6-A2DC-923D1F9566D0}" type="pres">
      <dgm:prSet presAssocID="{1D020722-8F80-4119-87A3-4DA58FA6899D}" presName="Name0" presStyleCnt="0">
        <dgm:presLayoutVars>
          <dgm:dir/>
          <dgm:resizeHandles val="exact"/>
        </dgm:presLayoutVars>
      </dgm:prSet>
      <dgm:spPr/>
      <dgm:t>
        <a:bodyPr/>
        <a:lstStyle/>
        <a:p>
          <a:endParaRPr lang="pl-PL"/>
        </a:p>
      </dgm:t>
    </dgm:pt>
    <dgm:pt modelId="{05F05F4B-B5C9-4D28-95F8-40427B146C56}" type="pres">
      <dgm:prSet presAssocID="{5BA84521-64AB-4820-B893-4DBE374A030D}" presName="node" presStyleLbl="node1" presStyleIdx="0" presStyleCnt="11" custLinFactNeighborX="2144" custLinFactNeighborY="-25623">
        <dgm:presLayoutVars>
          <dgm:bulletEnabled val="1"/>
        </dgm:presLayoutVars>
      </dgm:prSet>
      <dgm:spPr/>
      <dgm:t>
        <a:bodyPr/>
        <a:lstStyle/>
        <a:p>
          <a:endParaRPr lang="pl-PL"/>
        </a:p>
      </dgm:t>
    </dgm:pt>
    <dgm:pt modelId="{97EADF1D-FFCF-450D-AAB4-F179254F6685}" type="pres">
      <dgm:prSet presAssocID="{7D9EDA60-F55E-495F-AE98-37309DC21C90}" presName="sibTrans" presStyleLbl="sibTrans1D1" presStyleIdx="0" presStyleCnt="10"/>
      <dgm:spPr/>
      <dgm:t>
        <a:bodyPr/>
        <a:lstStyle/>
        <a:p>
          <a:endParaRPr lang="pl-PL"/>
        </a:p>
      </dgm:t>
    </dgm:pt>
    <dgm:pt modelId="{1C950A30-12A9-4CDC-9C88-72C096A2DF8A}" type="pres">
      <dgm:prSet presAssocID="{7D9EDA60-F55E-495F-AE98-37309DC21C90}" presName="connectorText" presStyleLbl="sibTrans1D1" presStyleIdx="0" presStyleCnt="10"/>
      <dgm:spPr/>
      <dgm:t>
        <a:bodyPr/>
        <a:lstStyle/>
        <a:p>
          <a:endParaRPr lang="pl-PL"/>
        </a:p>
      </dgm:t>
    </dgm:pt>
    <dgm:pt modelId="{09A5CB03-BC47-4781-B93E-B90DDA12FC86}" type="pres">
      <dgm:prSet presAssocID="{5FE0D7E0-295B-4AF5-A03D-391A65780E03}" presName="node" presStyleLbl="node1" presStyleIdx="1" presStyleCnt="11" custScaleY="101075" custLinFactNeighborX="1073" custLinFactNeighborY="-23239">
        <dgm:presLayoutVars>
          <dgm:bulletEnabled val="1"/>
        </dgm:presLayoutVars>
      </dgm:prSet>
      <dgm:spPr/>
      <dgm:t>
        <a:bodyPr/>
        <a:lstStyle/>
        <a:p>
          <a:endParaRPr lang="pl-PL"/>
        </a:p>
      </dgm:t>
    </dgm:pt>
    <dgm:pt modelId="{730882FD-910C-4BAC-B928-A780FA10BF76}" type="pres">
      <dgm:prSet presAssocID="{73B95C64-EC35-4E51-AA4A-72C7C62F2BE9}" presName="sibTrans" presStyleLbl="sibTrans1D1" presStyleIdx="1" presStyleCnt="10"/>
      <dgm:spPr/>
      <dgm:t>
        <a:bodyPr/>
        <a:lstStyle/>
        <a:p>
          <a:endParaRPr lang="pl-PL"/>
        </a:p>
      </dgm:t>
    </dgm:pt>
    <dgm:pt modelId="{7C5E0780-E778-422E-996C-9D5F0965462F}" type="pres">
      <dgm:prSet presAssocID="{73B95C64-EC35-4E51-AA4A-72C7C62F2BE9}" presName="connectorText" presStyleLbl="sibTrans1D1" presStyleIdx="1" presStyleCnt="10"/>
      <dgm:spPr/>
      <dgm:t>
        <a:bodyPr/>
        <a:lstStyle/>
        <a:p>
          <a:endParaRPr lang="pl-PL"/>
        </a:p>
      </dgm:t>
    </dgm:pt>
    <dgm:pt modelId="{3D274FB5-6062-421B-B72A-403FA8479423}" type="pres">
      <dgm:prSet presAssocID="{08E070E7-B16D-4CE9-8948-9E19FBEFFA38}" presName="node" presStyleLbl="node1" presStyleIdx="2" presStyleCnt="11" custLinFactNeighborY="-23835">
        <dgm:presLayoutVars>
          <dgm:bulletEnabled val="1"/>
        </dgm:presLayoutVars>
      </dgm:prSet>
      <dgm:spPr/>
      <dgm:t>
        <a:bodyPr/>
        <a:lstStyle/>
        <a:p>
          <a:endParaRPr lang="pl-PL"/>
        </a:p>
      </dgm:t>
    </dgm:pt>
    <dgm:pt modelId="{92310ADF-4601-426F-AB77-80FBAD1FD9E1}" type="pres">
      <dgm:prSet presAssocID="{7C971C9C-7F43-4700-A2D6-9E822EC0A9E7}" presName="sibTrans" presStyleLbl="sibTrans1D1" presStyleIdx="2" presStyleCnt="10"/>
      <dgm:spPr/>
      <dgm:t>
        <a:bodyPr/>
        <a:lstStyle/>
        <a:p>
          <a:endParaRPr lang="pl-PL"/>
        </a:p>
      </dgm:t>
    </dgm:pt>
    <dgm:pt modelId="{0947F8DF-47D4-474D-AA3F-86F9E0E912AB}" type="pres">
      <dgm:prSet presAssocID="{7C971C9C-7F43-4700-A2D6-9E822EC0A9E7}" presName="connectorText" presStyleLbl="sibTrans1D1" presStyleIdx="2" presStyleCnt="10"/>
      <dgm:spPr/>
      <dgm:t>
        <a:bodyPr/>
        <a:lstStyle/>
        <a:p>
          <a:endParaRPr lang="pl-PL"/>
        </a:p>
      </dgm:t>
    </dgm:pt>
    <dgm:pt modelId="{7618503C-EC64-400B-B998-4AB681F09F99}" type="pres">
      <dgm:prSet presAssocID="{D01C8030-3B0C-4D31-AA96-A00E640B4760}" presName="node" presStyleLbl="node1" presStyleIdx="3" presStyleCnt="11" custLinFactNeighborX="-435" custLinFactNeighborY="-33965">
        <dgm:presLayoutVars>
          <dgm:bulletEnabled val="1"/>
        </dgm:presLayoutVars>
      </dgm:prSet>
      <dgm:spPr/>
      <dgm:t>
        <a:bodyPr/>
        <a:lstStyle/>
        <a:p>
          <a:endParaRPr lang="pl-PL"/>
        </a:p>
      </dgm:t>
    </dgm:pt>
    <dgm:pt modelId="{C86BB6C0-7D0F-4AD1-8A2D-C305114EE87C}" type="pres">
      <dgm:prSet presAssocID="{236C2AB7-CFE7-4124-8316-35F44CB3030C}" presName="sibTrans" presStyleLbl="sibTrans1D1" presStyleIdx="3" presStyleCnt="10"/>
      <dgm:spPr/>
      <dgm:t>
        <a:bodyPr/>
        <a:lstStyle/>
        <a:p>
          <a:endParaRPr lang="pl-PL"/>
        </a:p>
      </dgm:t>
    </dgm:pt>
    <dgm:pt modelId="{B705DBC8-8755-46F7-9B71-28BA70ADD0FB}" type="pres">
      <dgm:prSet presAssocID="{236C2AB7-CFE7-4124-8316-35F44CB3030C}" presName="connectorText" presStyleLbl="sibTrans1D1" presStyleIdx="3" presStyleCnt="10"/>
      <dgm:spPr/>
      <dgm:t>
        <a:bodyPr/>
        <a:lstStyle/>
        <a:p>
          <a:endParaRPr lang="pl-PL"/>
        </a:p>
      </dgm:t>
    </dgm:pt>
    <dgm:pt modelId="{C8A64082-8A61-47B4-BF4F-EDA13B502ACE}" type="pres">
      <dgm:prSet presAssocID="{A86D167B-8A09-4C44-8E23-93C5CD3FE4F3}" presName="node" presStyleLbl="node1" presStyleIdx="4" presStyleCnt="11" custLinFactNeighborX="-358" custLinFactNeighborY="-33965">
        <dgm:presLayoutVars>
          <dgm:bulletEnabled val="1"/>
        </dgm:presLayoutVars>
      </dgm:prSet>
      <dgm:spPr/>
      <dgm:t>
        <a:bodyPr/>
        <a:lstStyle/>
        <a:p>
          <a:endParaRPr lang="pl-PL"/>
        </a:p>
      </dgm:t>
    </dgm:pt>
    <dgm:pt modelId="{A7361D72-D929-4701-9B80-3CEB48BB292B}" type="pres">
      <dgm:prSet presAssocID="{507E80F0-DAC5-4D84-9ED2-76A43B85AC46}" presName="sibTrans" presStyleLbl="sibTrans1D1" presStyleIdx="4" presStyleCnt="10"/>
      <dgm:spPr/>
      <dgm:t>
        <a:bodyPr/>
        <a:lstStyle/>
        <a:p>
          <a:endParaRPr lang="pl-PL"/>
        </a:p>
      </dgm:t>
    </dgm:pt>
    <dgm:pt modelId="{E9D8C521-7FE1-4CE2-812A-C1267421AC7F}" type="pres">
      <dgm:prSet presAssocID="{507E80F0-DAC5-4D84-9ED2-76A43B85AC46}" presName="connectorText" presStyleLbl="sibTrans1D1" presStyleIdx="4" presStyleCnt="10"/>
      <dgm:spPr/>
      <dgm:t>
        <a:bodyPr/>
        <a:lstStyle/>
        <a:p>
          <a:endParaRPr lang="pl-PL"/>
        </a:p>
      </dgm:t>
    </dgm:pt>
    <dgm:pt modelId="{DE19C9E1-9AFB-40A9-A2A4-EFC7E7B9F160}" type="pres">
      <dgm:prSet presAssocID="{B49494DB-6049-4D8D-B84C-BC16BD2EFBE7}" presName="node" presStyleLbl="node1" presStyleIdx="5" presStyleCnt="11" custLinFactNeighborX="466" custLinFactNeighborY="-33964">
        <dgm:presLayoutVars>
          <dgm:bulletEnabled val="1"/>
        </dgm:presLayoutVars>
      </dgm:prSet>
      <dgm:spPr/>
      <dgm:t>
        <a:bodyPr/>
        <a:lstStyle/>
        <a:p>
          <a:endParaRPr lang="pl-PL"/>
        </a:p>
      </dgm:t>
    </dgm:pt>
    <dgm:pt modelId="{8B61161B-DA10-424B-81C4-C7633520DAEF}" type="pres">
      <dgm:prSet presAssocID="{172C06C6-C9E2-4E09-9887-0CF5A33EA703}" presName="sibTrans" presStyleLbl="sibTrans1D1" presStyleIdx="5" presStyleCnt="10"/>
      <dgm:spPr/>
      <dgm:t>
        <a:bodyPr/>
        <a:lstStyle/>
        <a:p>
          <a:endParaRPr lang="pl-PL"/>
        </a:p>
      </dgm:t>
    </dgm:pt>
    <dgm:pt modelId="{2F4AC6C1-BD47-4D59-8D97-E1FE20C5ACF8}" type="pres">
      <dgm:prSet presAssocID="{172C06C6-C9E2-4E09-9887-0CF5A33EA703}" presName="connectorText" presStyleLbl="sibTrans1D1" presStyleIdx="5" presStyleCnt="10"/>
      <dgm:spPr/>
      <dgm:t>
        <a:bodyPr/>
        <a:lstStyle/>
        <a:p>
          <a:endParaRPr lang="pl-PL"/>
        </a:p>
      </dgm:t>
    </dgm:pt>
    <dgm:pt modelId="{5944C7AE-CFCB-45AB-BD56-4787BC4876D5}" type="pres">
      <dgm:prSet presAssocID="{A17B80B7-1934-4681-ACF3-35870C799277}" presName="node" presStyleLbl="node1" presStyleIdx="6" presStyleCnt="11" custLinFactNeighborX="-1073" custLinFactNeighborY="-28006">
        <dgm:presLayoutVars>
          <dgm:bulletEnabled val="1"/>
        </dgm:presLayoutVars>
      </dgm:prSet>
      <dgm:spPr/>
      <dgm:t>
        <a:bodyPr/>
        <a:lstStyle/>
        <a:p>
          <a:endParaRPr lang="pl-PL"/>
        </a:p>
      </dgm:t>
    </dgm:pt>
    <dgm:pt modelId="{C551A23C-D7A2-4C41-BAC3-5E9787ED140D}" type="pres">
      <dgm:prSet presAssocID="{2D8873E6-AB4A-4C94-B41B-DE7F3812C571}" presName="sibTrans" presStyleLbl="sibTrans1D1" presStyleIdx="6" presStyleCnt="10"/>
      <dgm:spPr/>
      <dgm:t>
        <a:bodyPr/>
        <a:lstStyle/>
        <a:p>
          <a:endParaRPr lang="pl-PL"/>
        </a:p>
      </dgm:t>
    </dgm:pt>
    <dgm:pt modelId="{97A310E5-8BCF-4698-B297-7901815D3080}" type="pres">
      <dgm:prSet presAssocID="{2D8873E6-AB4A-4C94-B41B-DE7F3812C571}" presName="connectorText" presStyleLbl="sibTrans1D1" presStyleIdx="6" presStyleCnt="10"/>
      <dgm:spPr/>
      <dgm:t>
        <a:bodyPr/>
        <a:lstStyle/>
        <a:p>
          <a:endParaRPr lang="pl-PL"/>
        </a:p>
      </dgm:t>
    </dgm:pt>
    <dgm:pt modelId="{40DD32E1-C0F3-42FE-A6C9-BB35F047543A}" type="pres">
      <dgm:prSet presAssocID="{29A731B8-8BC2-4BC3-9FC4-8C228741866C}" presName="node" presStyleLbl="node1" presStyleIdx="7" presStyleCnt="11" custLinFactNeighborX="-1073" custLinFactNeighborY="-28006">
        <dgm:presLayoutVars>
          <dgm:bulletEnabled val="1"/>
        </dgm:presLayoutVars>
      </dgm:prSet>
      <dgm:spPr/>
      <dgm:t>
        <a:bodyPr/>
        <a:lstStyle/>
        <a:p>
          <a:endParaRPr lang="pl-PL"/>
        </a:p>
      </dgm:t>
    </dgm:pt>
    <dgm:pt modelId="{BA0F062F-7FEC-435F-911F-B54805419DC1}" type="pres">
      <dgm:prSet presAssocID="{50F1E851-48AE-4B65-A753-B5D067F7B6D8}" presName="sibTrans" presStyleLbl="sibTrans1D1" presStyleIdx="7" presStyleCnt="10"/>
      <dgm:spPr/>
      <dgm:t>
        <a:bodyPr/>
        <a:lstStyle/>
        <a:p>
          <a:endParaRPr lang="pl-PL"/>
        </a:p>
      </dgm:t>
    </dgm:pt>
    <dgm:pt modelId="{6FED2EB4-64D0-498A-9C06-5EC99B4E2D13}" type="pres">
      <dgm:prSet presAssocID="{50F1E851-48AE-4B65-A753-B5D067F7B6D8}" presName="connectorText" presStyleLbl="sibTrans1D1" presStyleIdx="7" presStyleCnt="10"/>
      <dgm:spPr/>
      <dgm:t>
        <a:bodyPr/>
        <a:lstStyle/>
        <a:p>
          <a:endParaRPr lang="pl-PL"/>
        </a:p>
      </dgm:t>
    </dgm:pt>
    <dgm:pt modelId="{23746882-21A0-49C9-A00B-7AE9D54A6FA6}" type="pres">
      <dgm:prSet presAssocID="{39A42C2F-26CA-4FB0-A9FA-D515F2486883}" presName="node" presStyleLbl="node1" presStyleIdx="8" presStyleCnt="11" custScaleY="101646" custLinFactNeighborX="-1073" custLinFactNeighborY="-28006">
        <dgm:presLayoutVars>
          <dgm:bulletEnabled val="1"/>
        </dgm:presLayoutVars>
      </dgm:prSet>
      <dgm:spPr/>
      <dgm:t>
        <a:bodyPr/>
        <a:lstStyle/>
        <a:p>
          <a:endParaRPr lang="pl-PL"/>
        </a:p>
      </dgm:t>
    </dgm:pt>
    <dgm:pt modelId="{003B4A18-09AC-4B6E-91E0-D24410C244F0}" type="pres">
      <dgm:prSet presAssocID="{FA72986C-E070-4554-887B-6601065688B9}" presName="sibTrans" presStyleLbl="sibTrans1D1" presStyleIdx="8" presStyleCnt="10"/>
      <dgm:spPr/>
      <dgm:t>
        <a:bodyPr/>
        <a:lstStyle/>
        <a:p>
          <a:endParaRPr lang="pl-PL"/>
        </a:p>
      </dgm:t>
    </dgm:pt>
    <dgm:pt modelId="{27AAEDC0-32B6-4701-8F01-68D8B5D92C36}" type="pres">
      <dgm:prSet presAssocID="{FA72986C-E070-4554-887B-6601065688B9}" presName="connectorText" presStyleLbl="sibTrans1D1" presStyleIdx="8" presStyleCnt="10"/>
      <dgm:spPr/>
      <dgm:t>
        <a:bodyPr/>
        <a:lstStyle/>
        <a:p>
          <a:endParaRPr lang="pl-PL"/>
        </a:p>
      </dgm:t>
    </dgm:pt>
    <dgm:pt modelId="{19E5F689-3F06-4B76-9823-BFC2658FBD6B}" type="pres">
      <dgm:prSet presAssocID="{93802B36-8271-44A3-9BC2-6FC41F8C4D94}" presName="node" presStyleLbl="node1" presStyleIdx="9" presStyleCnt="11" custLinFactNeighborX="-1430" custLinFactNeighborY="-22643">
        <dgm:presLayoutVars>
          <dgm:bulletEnabled val="1"/>
        </dgm:presLayoutVars>
      </dgm:prSet>
      <dgm:spPr/>
      <dgm:t>
        <a:bodyPr/>
        <a:lstStyle/>
        <a:p>
          <a:endParaRPr lang="pl-PL"/>
        </a:p>
      </dgm:t>
    </dgm:pt>
    <dgm:pt modelId="{A22C7F9E-A5DC-46CE-B0B6-460607A6074B}" type="pres">
      <dgm:prSet presAssocID="{2F15A092-32EF-495B-ABDD-D33AB42DC177}" presName="sibTrans" presStyleLbl="sibTrans1D1" presStyleIdx="9" presStyleCnt="10"/>
      <dgm:spPr/>
      <dgm:t>
        <a:bodyPr/>
        <a:lstStyle/>
        <a:p>
          <a:endParaRPr lang="pl-PL"/>
        </a:p>
      </dgm:t>
    </dgm:pt>
    <dgm:pt modelId="{E514ED70-5FE1-42B5-8196-1C38D21D946D}" type="pres">
      <dgm:prSet presAssocID="{2F15A092-32EF-495B-ABDD-D33AB42DC177}" presName="connectorText" presStyleLbl="sibTrans1D1" presStyleIdx="9" presStyleCnt="10"/>
      <dgm:spPr/>
      <dgm:t>
        <a:bodyPr/>
        <a:lstStyle/>
        <a:p>
          <a:endParaRPr lang="pl-PL"/>
        </a:p>
      </dgm:t>
    </dgm:pt>
    <dgm:pt modelId="{CC160B18-A2D5-4387-827F-046CE83AFEBA}" type="pres">
      <dgm:prSet presAssocID="{32956A38-32C0-4500-AA55-4CC506BF32C9}" presName="node" presStyleLbl="node1" presStyleIdx="10" presStyleCnt="11" custScaleY="102133" custLinFactNeighborX="-1430" custLinFactNeighborY="-22643">
        <dgm:presLayoutVars>
          <dgm:bulletEnabled val="1"/>
        </dgm:presLayoutVars>
      </dgm:prSet>
      <dgm:spPr/>
      <dgm:t>
        <a:bodyPr/>
        <a:lstStyle/>
        <a:p>
          <a:endParaRPr lang="pl-PL"/>
        </a:p>
      </dgm:t>
    </dgm:pt>
  </dgm:ptLst>
  <dgm:cxnLst>
    <dgm:cxn modelId="{C6B2F858-06D3-43B8-B898-2AB2965EA6B0}" srcId="{1D020722-8F80-4119-87A3-4DA58FA6899D}" destId="{D01C8030-3B0C-4D31-AA96-A00E640B4760}" srcOrd="3" destOrd="0" parTransId="{8D9DDBD2-28E7-4090-AA8E-FF6E953811E6}" sibTransId="{236C2AB7-CFE7-4124-8316-35F44CB3030C}"/>
    <dgm:cxn modelId="{4318FFC0-21D3-47CD-880D-F40742D7C249}" srcId="{1D020722-8F80-4119-87A3-4DA58FA6899D}" destId="{A17B80B7-1934-4681-ACF3-35870C799277}" srcOrd="6" destOrd="0" parTransId="{0718D7A4-E148-40F3-92E0-725191A6653E}" sibTransId="{2D8873E6-AB4A-4C94-B41B-DE7F3812C571}"/>
    <dgm:cxn modelId="{6AFD2ADE-A1AA-41D2-A908-08396A5D79D1}" type="presOf" srcId="{A86D167B-8A09-4C44-8E23-93C5CD3FE4F3}" destId="{C8A64082-8A61-47B4-BF4F-EDA13B502ACE}" srcOrd="0" destOrd="0" presId="urn:microsoft.com/office/officeart/2005/8/layout/bProcess3"/>
    <dgm:cxn modelId="{0116C9E3-24A6-492D-9259-4A10A949A219}" type="presOf" srcId="{FA72986C-E070-4554-887B-6601065688B9}" destId="{003B4A18-09AC-4B6E-91E0-D24410C244F0}" srcOrd="0" destOrd="0" presId="urn:microsoft.com/office/officeart/2005/8/layout/bProcess3"/>
    <dgm:cxn modelId="{CACC7212-6AF4-42CC-9612-5129E1EDB644}" type="presOf" srcId="{39A42C2F-26CA-4FB0-A9FA-D515F2486883}" destId="{23746882-21A0-49C9-A00B-7AE9D54A6FA6}" srcOrd="0" destOrd="0" presId="urn:microsoft.com/office/officeart/2005/8/layout/bProcess3"/>
    <dgm:cxn modelId="{AF002CCB-3924-4D47-B176-1922B21A7365}" srcId="{1D020722-8F80-4119-87A3-4DA58FA6899D}" destId="{5BA84521-64AB-4820-B893-4DBE374A030D}" srcOrd="0" destOrd="0" parTransId="{98179F87-78CF-4498-A16D-08EA8B753BDB}" sibTransId="{7D9EDA60-F55E-495F-AE98-37309DC21C90}"/>
    <dgm:cxn modelId="{E9B47998-AB96-49F4-AA15-C8A38EB160CB}" type="presOf" srcId="{7D9EDA60-F55E-495F-AE98-37309DC21C90}" destId="{1C950A30-12A9-4CDC-9C88-72C096A2DF8A}" srcOrd="1" destOrd="0" presId="urn:microsoft.com/office/officeart/2005/8/layout/bProcess3"/>
    <dgm:cxn modelId="{F170A48D-749E-4E30-AC1B-78AD72AA1C1F}" type="presOf" srcId="{B49494DB-6049-4D8D-B84C-BC16BD2EFBE7}" destId="{DE19C9E1-9AFB-40A9-A2A4-EFC7E7B9F160}" srcOrd="0" destOrd="0" presId="urn:microsoft.com/office/officeart/2005/8/layout/bProcess3"/>
    <dgm:cxn modelId="{ADC3A17C-873C-4ED7-88BA-C5C47D903D6D}" srcId="{1D020722-8F80-4119-87A3-4DA58FA6899D}" destId="{93802B36-8271-44A3-9BC2-6FC41F8C4D94}" srcOrd="9" destOrd="0" parTransId="{9FDBBCE8-4AEA-48B7-827F-9E94101CBA56}" sibTransId="{2F15A092-32EF-495B-ABDD-D33AB42DC177}"/>
    <dgm:cxn modelId="{3349BFC5-0E5E-472C-B9C0-4478102A5671}" type="presOf" srcId="{50F1E851-48AE-4B65-A753-B5D067F7B6D8}" destId="{BA0F062F-7FEC-435F-911F-B54805419DC1}" srcOrd="0" destOrd="0" presId="urn:microsoft.com/office/officeart/2005/8/layout/bProcess3"/>
    <dgm:cxn modelId="{288A5959-2269-4B5A-8F9A-080809837324}" type="presOf" srcId="{172C06C6-C9E2-4E09-9887-0CF5A33EA703}" destId="{2F4AC6C1-BD47-4D59-8D97-E1FE20C5ACF8}" srcOrd="1" destOrd="0" presId="urn:microsoft.com/office/officeart/2005/8/layout/bProcess3"/>
    <dgm:cxn modelId="{B06233FA-D1EE-4524-B82B-AAFE947C5726}" type="presOf" srcId="{D01C8030-3B0C-4D31-AA96-A00E640B4760}" destId="{7618503C-EC64-400B-B998-4AB681F09F99}" srcOrd="0" destOrd="0" presId="urn:microsoft.com/office/officeart/2005/8/layout/bProcess3"/>
    <dgm:cxn modelId="{D74A006B-D1B1-4457-9C2E-28431E1131B4}" type="presOf" srcId="{73B95C64-EC35-4E51-AA4A-72C7C62F2BE9}" destId="{730882FD-910C-4BAC-B928-A780FA10BF76}" srcOrd="0" destOrd="0" presId="urn:microsoft.com/office/officeart/2005/8/layout/bProcess3"/>
    <dgm:cxn modelId="{103E06F7-230B-44A6-818B-8A3C58E6D77E}" type="presOf" srcId="{7D9EDA60-F55E-495F-AE98-37309DC21C90}" destId="{97EADF1D-FFCF-450D-AAB4-F179254F6685}" srcOrd="0" destOrd="0" presId="urn:microsoft.com/office/officeart/2005/8/layout/bProcess3"/>
    <dgm:cxn modelId="{2FAE7467-0EE7-47B4-BD39-56DA39A9259B}" srcId="{1D020722-8F80-4119-87A3-4DA58FA6899D}" destId="{39A42C2F-26CA-4FB0-A9FA-D515F2486883}" srcOrd="8" destOrd="0" parTransId="{51F80B17-49C9-4E78-9DBE-E1B6944F5A5A}" sibTransId="{FA72986C-E070-4554-887B-6601065688B9}"/>
    <dgm:cxn modelId="{94305E27-0EA6-44E1-8644-5D7762C1C1C7}" type="presOf" srcId="{FA72986C-E070-4554-887B-6601065688B9}" destId="{27AAEDC0-32B6-4701-8F01-68D8B5D92C36}" srcOrd="1" destOrd="0" presId="urn:microsoft.com/office/officeart/2005/8/layout/bProcess3"/>
    <dgm:cxn modelId="{09CAC0EE-D097-4B5D-9509-EEDC70E58CF1}" type="presOf" srcId="{236C2AB7-CFE7-4124-8316-35F44CB3030C}" destId="{B705DBC8-8755-46F7-9B71-28BA70ADD0FB}" srcOrd="1" destOrd="0" presId="urn:microsoft.com/office/officeart/2005/8/layout/bProcess3"/>
    <dgm:cxn modelId="{F25A5BA1-2398-4500-A0EC-F619BB9DC5B1}" type="presOf" srcId="{172C06C6-C9E2-4E09-9887-0CF5A33EA703}" destId="{8B61161B-DA10-424B-81C4-C7633520DAEF}" srcOrd="0" destOrd="0" presId="urn:microsoft.com/office/officeart/2005/8/layout/bProcess3"/>
    <dgm:cxn modelId="{43E4BCFA-6E0C-4789-B477-01B55742B61C}" type="presOf" srcId="{7C971C9C-7F43-4700-A2D6-9E822EC0A9E7}" destId="{0947F8DF-47D4-474D-AA3F-86F9E0E912AB}" srcOrd="1" destOrd="0" presId="urn:microsoft.com/office/officeart/2005/8/layout/bProcess3"/>
    <dgm:cxn modelId="{3666E342-7897-4C7C-AD05-0D992662828C}" type="presOf" srcId="{507E80F0-DAC5-4D84-9ED2-76A43B85AC46}" destId="{E9D8C521-7FE1-4CE2-812A-C1267421AC7F}" srcOrd="1" destOrd="0" presId="urn:microsoft.com/office/officeart/2005/8/layout/bProcess3"/>
    <dgm:cxn modelId="{35C302E8-6A7D-4489-B4FA-58A0244CD331}" type="presOf" srcId="{5FE0D7E0-295B-4AF5-A03D-391A65780E03}" destId="{09A5CB03-BC47-4781-B93E-B90DDA12FC86}" srcOrd="0" destOrd="0" presId="urn:microsoft.com/office/officeart/2005/8/layout/bProcess3"/>
    <dgm:cxn modelId="{ECF28B22-E169-4B93-A4B3-AE10E9689870}" srcId="{1D020722-8F80-4119-87A3-4DA58FA6899D}" destId="{5FE0D7E0-295B-4AF5-A03D-391A65780E03}" srcOrd="1" destOrd="0" parTransId="{152DD13F-4737-4AF5-8F17-8560F969EED9}" sibTransId="{73B95C64-EC35-4E51-AA4A-72C7C62F2BE9}"/>
    <dgm:cxn modelId="{DE16FF9D-F20F-43B0-9231-3389AC3FCCD0}" type="presOf" srcId="{50F1E851-48AE-4B65-A753-B5D067F7B6D8}" destId="{6FED2EB4-64D0-498A-9C06-5EC99B4E2D13}" srcOrd="1" destOrd="0" presId="urn:microsoft.com/office/officeart/2005/8/layout/bProcess3"/>
    <dgm:cxn modelId="{5033EF09-F946-4900-B649-F8FC849951AE}" type="presOf" srcId="{29A731B8-8BC2-4BC3-9FC4-8C228741866C}" destId="{40DD32E1-C0F3-42FE-A6C9-BB35F047543A}" srcOrd="0" destOrd="0" presId="urn:microsoft.com/office/officeart/2005/8/layout/bProcess3"/>
    <dgm:cxn modelId="{20A03B3F-938E-4D86-9A49-D9EB560D0B00}" type="presOf" srcId="{5BA84521-64AB-4820-B893-4DBE374A030D}" destId="{05F05F4B-B5C9-4D28-95F8-40427B146C56}" srcOrd="0" destOrd="0" presId="urn:microsoft.com/office/officeart/2005/8/layout/bProcess3"/>
    <dgm:cxn modelId="{8D87EF1D-6BB7-4C3B-8C4F-284DE95ADD88}" type="presOf" srcId="{2F15A092-32EF-495B-ABDD-D33AB42DC177}" destId="{E514ED70-5FE1-42B5-8196-1C38D21D946D}" srcOrd="1" destOrd="0" presId="urn:microsoft.com/office/officeart/2005/8/layout/bProcess3"/>
    <dgm:cxn modelId="{DB52E41E-F936-47A4-9E22-D99C82315B76}" type="presOf" srcId="{2D8873E6-AB4A-4C94-B41B-DE7F3812C571}" destId="{C551A23C-D7A2-4C41-BAC3-5E9787ED140D}" srcOrd="0" destOrd="0" presId="urn:microsoft.com/office/officeart/2005/8/layout/bProcess3"/>
    <dgm:cxn modelId="{EC34B4BA-C774-4DD4-82BD-F2417E5C5285}" type="presOf" srcId="{236C2AB7-CFE7-4124-8316-35F44CB3030C}" destId="{C86BB6C0-7D0F-4AD1-8A2D-C305114EE87C}" srcOrd="0" destOrd="0" presId="urn:microsoft.com/office/officeart/2005/8/layout/bProcess3"/>
    <dgm:cxn modelId="{6D0D507E-4FF1-422A-8649-5AFDC6CD3B9A}" type="presOf" srcId="{2F15A092-32EF-495B-ABDD-D33AB42DC177}" destId="{A22C7F9E-A5DC-46CE-B0B6-460607A6074B}" srcOrd="0" destOrd="0" presId="urn:microsoft.com/office/officeart/2005/8/layout/bProcess3"/>
    <dgm:cxn modelId="{65EEEE77-374A-468F-9C36-884533B03657}" type="presOf" srcId="{93802B36-8271-44A3-9BC2-6FC41F8C4D94}" destId="{19E5F689-3F06-4B76-9823-BFC2658FBD6B}" srcOrd="0" destOrd="0" presId="urn:microsoft.com/office/officeart/2005/8/layout/bProcess3"/>
    <dgm:cxn modelId="{6E0C66B6-6901-4F6F-BD43-CDC830D03745}" type="presOf" srcId="{73B95C64-EC35-4E51-AA4A-72C7C62F2BE9}" destId="{7C5E0780-E778-422E-996C-9D5F0965462F}" srcOrd="1" destOrd="0" presId="urn:microsoft.com/office/officeart/2005/8/layout/bProcess3"/>
    <dgm:cxn modelId="{E0EFC948-308F-4585-949E-C1263A934C76}" srcId="{1D020722-8F80-4119-87A3-4DA58FA6899D}" destId="{B49494DB-6049-4D8D-B84C-BC16BD2EFBE7}" srcOrd="5" destOrd="0" parTransId="{4B6D5562-F690-4954-8A78-ED93BE6BC2A3}" sibTransId="{172C06C6-C9E2-4E09-9887-0CF5A33EA703}"/>
    <dgm:cxn modelId="{6E8C0EDF-748B-4AF2-AC38-7FE6E7ACD4E0}" type="presOf" srcId="{2D8873E6-AB4A-4C94-B41B-DE7F3812C571}" destId="{97A310E5-8BCF-4698-B297-7901815D3080}" srcOrd="1" destOrd="0" presId="urn:microsoft.com/office/officeart/2005/8/layout/bProcess3"/>
    <dgm:cxn modelId="{05C60E73-DC84-41E3-8A2F-D93C403F5D44}" srcId="{1D020722-8F80-4119-87A3-4DA58FA6899D}" destId="{32956A38-32C0-4500-AA55-4CC506BF32C9}" srcOrd="10" destOrd="0" parTransId="{46702447-5EC4-4C39-B5AB-2494135DEFD0}" sibTransId="{FA473098-9AFA-47E8-A93E-7E3403A2952B}"/>
    <dgm:cxn modelId="{2A65D41E-4E72-4F91-8CA6-26F7C1F59F49}" type="presOf" srcId="{7C971C9C-7F43-4700-A2D6-9E822EC0A9E7}" destId="{92310ADF-4601-426F-AB77-80FBAD1FD9E1}" srcOrd="0" destOrd="0" presId="urn:microsoft.com/office/officeart/2005/8/layout/bProcess3"/>
    <dgm:cxn modelId="{193472A8-E0EC-4324-AF55-4CB45119ADBF}" type="presOf" srcId="{1D020722-8F80-4119-87A3-4DA58FA6899D}" destId="{ADCC2D19-2071-48E6-A2DC-923D1F9566D0}" srcOrd="0" destOrd="0" presId="urn:microsoft.com/office/officeart/2005/8/layout/bProcess3"/>
    <dgm:cxn modelId="{1258907E-AEC0-4BA7-BC42-A0BFE674093E}" srcId="{1D020722-8F80-4119-87A3-4DA58FA6899D}" destId="{08E070E7-B16D-4CE9-8948-9E19FBEFFA38}" srcOrd="2" destOrd="0" parTransId="{0E23EBB3-FA0A-4081-9764-BBA54423861D}" sibTransId="{7C971C9C-7F43-4700-A2D6-9E822EC0A9E7}"/>
    <dgm:cxn modelId="{86A085C2-71CE-4448-B89A-29110CDA7AA2}" srcId="{1D020722-8F80-4119-87A3-4DA58FA6899D}" destId="{A86D167B-8A09-4C44-8E23-93C5CD3FE4F3}" srcOrd="4" destOrd="0" parTransId="{C05DC28A-EEB6-45ED-9800-E5A8F97C3759}" sibTransId="{507E80F0-DAC5-4D84-9ED2-76A43B85AC46}"/>
    <dgm:cxn modelId="{457C3531-82E0-4AFD-8F54-9B41AFBCA852}" type="presOf" srcId="{08E070E7-B16D-4CE9-8948-9E19FBEFFA38}" destId="{3D274FB5-6062-421B-B72A-403FA8479423}" srcOrd="0" destOrd="0" presId="urn:microsoft.com/office/officeart/2005/8/layout/bProcess3"/>
    <dgm:cxn modelId="{0EA0CC27-3ACC-44B8-AF39-D7C5076E86CC}" type="presOf" srcId="{32956A38-32C0-4500-AA55-4CC506BF32C9}" destId="{CC160B18-A2D5-4387-827F-046CE83AFEBA}" srcOrd="0" destOrd="0" presId="urn:microsoft.com/office/officeart/2005/8/layout/bProcess3"/>
    <dgm:cxn modelId="{19F150EA-7F60-481A-A1FB-B37ADBB7AB0D}" srcId="{1D020722-8F80-4119-87A3-4DA58FA6899D}" destId="{29A731B8-8BC2-4BC3-9FC4-8C228741866C}" srcOrd="7" destOrd="0" parTransId="{2F77BB9B-39F9-4F5B-9BFF-818B5E6090F7}" sibTransId="{50F1E851-48AE-4B65-A753-B5D067F7B6D8}"/>
    <dgm:cxn modelId="{EB10C65C-06E2-4A69-A305-29627A363726}" type="presOf" srcId="{A17B80B7-1934-4681-ACF3-35870C799277}" destId="{5944C7AE-CFCB-45AB-BD56-4787BC4876D5}" srcOrd="0" destOrd="0" presId="urn:microsoft.com/office/officeart/2005/8/layout/bProcess3"/>
    <dgm:cxn modelId="{A42675E7-5221-4C1B-AB18-2DD9850F168B}" type="presOf" srcId="{507E80F0-DAC5-4D84-9ED2-76A43B85AC46}" destId="{A7361D72-D929-4701-9B80-3CEB48BB292B}" srcOrd="0" destOrd="0" presId="urn:microsoft.com/office/officeart/2005/8/layout/bProcess3"/>
    <dgm:cxn modelId="{34CF9116-E71E-48FF-91A8-6F22E69E8183}" type="presParOf" srcId="{ADCC2D19-2071-48E6-A2DC-923D1F9566D0}" destId="{05F05F4B-B5C9-4D28-95F8-40427B146C56}" srcOrd="0" destOrd="0" presId="urn:microsoft.com/office/officeart/2005/8/layout/bProcess3"/>
    <dgm:cxn modelId="{E3CE2374-567D-4309-B9F9-402A2ECD35A4}" type="presParOf" srcId="{ADCC2D19-2071-48E6-A2DC-923D1F9566D0}" destId="{97EADF1D-FFCF-450D-AAB4-F179254F6685}" srcOrd="1" destOrd="0" presId="urn:microsoft.com/office/officeart/2005/8/layout/bProcess3"/>
    <dgm:cxn modelId="{AB0ACD51-5EAF-45B5-B1E0-8C4540580927}" type="presParOf" srcId="{97EADF1D-FFCF-450D-AAB4-F179254F6685}" destId="{1C950A30-12A9-4CDC-9C88-72C096A2DF8A}" srcOrd="0" destOrd="0" presId="urn:microsoft.com/office/officeart/2005/8/layout/bProcess3"/>
    <dgm:cxn modelId="{CB99560B-963F-4CDF-B779-FA858566FC2A}" type="presParOf" srcId="{ADCC2D19-2071-48E6-A2DC-923D1F9566D0}" destId="{09A5CB03-BC47-4781-B93E-B90DDA12FC86}" srcOrd="2" destOrd="0" presId="urn:microsoft.com/office/officeart/2005/8/layout/bProcess3"/>
    <dgm:cxn modelId="{ACC90F9A-22C8-441A-89B0-C70A5BC8F0AD}" type="presParOf" srcId="{ADCC2D19-2071-48E6-A2DC-923D1F9566D0}" destId="{730882FD-910C-4BAC-B928-A780FA10BF76}" srcOrd="3" destOrd="0" presId="urn:microsoft.com/office/officeart/2005/8/layout/bProcess3"/>
    <dgm:cxn modelId="{B05F1483-1058-4467-A241-0CE10DB87A37}" type="presParOf" srcId="{730882FD-910C-4BAC-B928-A780FA10BF76}" destId="{7C5E0780-E778-422E-996C-9D5F0965462F}" srcOrd="0" destOrd="0" presId="urn:microsoft.com/office/officeart/2005/8/layout/bProcess3"/>
    <dgm:cxn modelId="{FC20E11F-D9CD-42E4-94C2-C9911CE2150E}" type="presParOf" srcId="{ADCC2D19-2071-48E6-A2DC-923D1F9566D0}" destId="{3D274FB5-6062-421B-B72A-403FA8479423}" srcOrd="4" destOrd="0" presId="urn:microsoft.com/office/officeart/2005/8/layout/bProcess3"/>
    <dgm:cxn modelId="{AA9F37DE-BF64-439C-B974-15EFBDF26BEB}" type="presParOf" srcId="{ADCC2D19-2071-48E6-A2DC-923D1F9566D0}" destId="{92310ADF-4601-426F-AB77-80FBAD1FD9E1}" srcOrd="5" destOrd="0" presId="urn:microsoft.com/office/officeart/2005/8/layout/bProcess3"/>
    <dgm:cxn modelId="{EBA07047-7B53-4B05-847E-3EFCF10938A2}" type="presParOf" srcId="{92310ADF-4601-426F-AB77-80FBAD1FD9E1}" destId="{0947F8DF-47D4-474D-AA3F-86F9E0E912AB}" srcOrd="0" destOrd="0" presId="urn:microsoft.com/office/officeart/2005/8/layout/bProcess3"/>
    <dgm:cxn modelId="{865C26FF-48C3-4219-B323-0B24C3A542FA}" type="presParOf" srcId="{ADCC2D19-2071-48E6-A2DC-923D1F9566D0}" destId="{7618503C-EC64-400B-B998-4AB681F09F99}" srcOrd="6" destOrd="0" presId="urn:microsoft.com/office/officeart/2005/8/layout/bProcess3"/>
    <dgm:cxn modelId="{4E646928-F9D5-497C-8B5E-79F447F1352B}" type="presParOf" srcId="{ADCC2D19-2071-48E6-A2DC-923D1F9566D0}" destId="{C86BB6C0-7D0F-4AD1-8A2D-C305114EE87C}" srcOrd="7" destOrd="0" presId="urn:microsoft.com/office/officeart/2005/8/layout/bProcess3"/>
    <dgm:cxn modelId="{6765A025-5876-4AFD-BDA7-91FED695B8F6}" type="presParOf" srcId="{C86BB6C0-7D0F-4AD1-8A2D-C305114EE87C}" destId="{B705DBC8-8755-46F7-9B71-28BA70ADD0FB}" srcOrd="0" destOrd="0" presId="urn:microsoft.com/office/officeart/2005/8/layout/bProcess3"/>
    <dgm:cxn modelId="{A7131D65-8F9B-427C-B6D4-1FAC2D51CEF3}" type="presParOf" srcId="{ADCC2D19-2071-48E6-A2DC-923D1F9566D0}" destId="{C8A64082-8A61-47B4-BF4F-EDA13B502ACE}" srcOrd="8" destOrd="0" presId="urn:microsoft.com/office/officeart/2005/8/layout/bProcess3"/>
    <dgm:cxn modelId="{EF32C21A-FEFB-43CD-BA2A-68D22F2FCAF2}" type="presParOf" srcId="{ADCC2D19-2071-48E6-A2DC-923D1F9566D0}" destId="{A7361D72-D929-4701-9B80-3CEB48BB292B}" srcOrd="9" destOrd="0" presId="urn:microsoft.com/office/officeart/2005/8/layout/bProcess3"/>
    <dgm:cxn modelId="{7C2880E6-E2D3-45F6-801D-BB677E7F08D2}" type="presParOf" srcId="{A7361D72-D929-4701-9B80-3CEB48BB292B}" destId="{E9D8C521-7FE1-4CE2-812A-C1267421AC7F}" srcOrd="0" destOrd="0" presId="urn:microsoft.com/office/officeart/2005/8/layout/bProcess3"/>
    <dgm:cxn modelId="{8A41E234-58A7-4196-B1D9-9D182707A50B}" type="presParOf" srcId="{ADCC2D19-2071-48E6-A2DC-923D1F9566D0}" destId="{DE19C9E1-9AFB-40A9-A2A4-EFC7E7B9F160}" srcOrd="10" destOrd="0" presId="urn:microsoft.com/office/officeart/2005/8/layout/bProcess3"/>
    <dgm:cxn modelId="{B4D23409-995D-4BA1-BA9B-3B6019B8F154}" type="presParOf" srcId="{ADCC2D19-2071-48E6-A2DC-923D1F9566D0}" destId="{8B61161B-DA10-424B-81C4-C7633520DAEF}" srcOrd="11" destOrd="0" presId="urn:microsoft.com/office/officeart/2005/8/layout/bProcess3"/>
    <dgm:cxn modelId="{6C7D355D-B1D8-4719-AC39-26A99698F26C}" type="presParOf" srcId="{8B61161B-DA10-424B-81C4-C7633520DAEF}" destId="{2F4AC6C1-BD47-4D59-8D97-E1FE20C5ACF8}" srcOrd="0" destOrd="0" presId="urn:microsoft.com/office/officeart/2005/8/layout/bProcess3"/>
    <dgm:cxn modelId="{BA3B6E57-0202-42D1-9E8D-A7F874AF56E7}" type="presParOf" srcId="{ADCC2D19-2071-48E6-A2DC-923D1F9566D0}" destId="{5944C7AE-CFCB-45AB-BD56-4787BC4876D5}" srcOrd="12" destOrd="0" presId="urn:microsoft.com/office/officeart/2005/8/layout/bProcess3"/>
    <dgm:cxn modelId="{9520118C-8617-485A-A8F9-3F7B4A2C837B}" type="presParOf" srcId="{ADCC2D19-2071-48E6-A2DC-923D1F9566D0}" destId="{C551A23C-D7A2-4C41-BAC3-5E9787ED140D}" srcOrd="13" destOrd="0" presId="urn:microsoft.com/office/officeart/2005/8/layout/bProcess3"/>
    <dgm:cxn modelId="{1FE46F7D-372B-4426-A842-01FF28AD077F}" type="presParOf" srcId="{C551A23C-D7A2-4C41-BAC3-5E9787ED140D}" destId="{97A310E5-8BCF-4698-B297-7901815D3080}" srcOrd="0" destOrd="0" presId="urn:microsoft.com/office/officeart/2005/8/layout/bProcess3"/>
    <dgm:cxn modelId="{7F95E170-491F-4FB2-8534-56F57A36BD30}" type="presParOf" srcId="{ADCC2D19-2071-48E6-A2DC-923D1F9566D0}" destId="{40DD32E1-C0F3-42FE-A6C9-BB35F047543A}" srcOrd="14" destOrd="0" presId="urn:microsoft.com/office/officeart/2005/8/layout/bProcess3"/>
    <dgm:cxn modelId="{3320EA01-7F05-4D95-A553-15B2FA7307E1}" type="presParOf" srcId="{ADCC2D19-2071-48E6-A2DC-923D1F9566D0}" destId="{BA0F062F-7FEC-435F-911F-B54805419DC1}" srcOrd="15" destOrd="0" presId="urn:microsoft.com/office/officeart/2005/8/layout/bProcess3"/>
    <dgm:cxn modelId="{C388F05C-C488-4DC3-8C44-1718F8902926}" type="presParOf" srcId="{BA0F062F-7FEC-435F-911F-B54805419DC1}" destId="{6FED2EB4-64D0-498A-9C06-5EC99B4E2D13}" srcOrd="0" destOrd="0" presId="urn:microsoft.com/office/officeart/2005/8/layout/bProcess3"/>
    <dgm:cxn modelId="{A5F4FC63-4F22-407A-BA9C-3B8BDFC8DD53}" type="presParOf" srcId="{ADCC2D19-2071-48E6-A2DC-923D1F9566D0}" destId="{23746882-21A0-49C9-A00B-7AE9D54A6FA6}" srcOrd="16" destOrd="0" presId="urn:microsoft.com/office/officeart/2005/8/layout/bProcess3"/>
    <dgm:cxn modelId="{3D326BC3-9AF8-4F6D-9012-281FD45284B9}" type="presParOf" srcId="{ADCC2D19-2071-48E6-A2DC-923D1F9566D0}" destId="{003B4A18-09AC-4B6E-91E0-D24410C244F0}" srcOrd="17" destOrd="0" presId="urn:microsoft.com/office/officeart/2005/8/layout/bProcess3"/>
    <dgm:cxn modelId="{42D829C4-57B3-478A-B1AC-1895772A1D91}" type="presParOf" srcId="{003B4A18-09AC-4B6E-91E0-D24410C244F0}" destId="{27AAEDC0-32B6-4701-8F01-68D8B5D92C36}" srcOrd="0" destOrd="0" presId="urn:microsoft.com/office/officeart/2005/8/layout/bProcess3"/>
    <dgm:cxn modelId="{593D98BA-1847-4279-8B83-D7FDD4694691}" type="presParOf" srcId="{ADCC2D19-2071-48E6-A2DC-923D1F9566D0}" destId="{19E5F689-3F06-4B76-9823-BFC2658FBD6B}" srcOrd="18" destOrd="0" presId="urn:microsoft.com/office/officeart/2005/8/layout/bProcess3"/>
    <dgm:cxn modelId="{3DB18A43-6B93-477F-8A75-AF10847ED697}" type="presParOf" srcId="{ADCC2D19-2071-48E6-A2DC-923D1F9566D0}" destId="{A22C7F9E-A5DC-46CE-B0B6-460607A6074B}" srcOrd="19" destOrd="0" presId="urn:microsoft.com/office/officeart/2005/8/layout/bProcess3"/>
    <dgm:cxn modelId="{BB14E7E2-104A-4CEB-AA50-9742999C9910}" type="presParOf" srcId="{A22C7F9E-A5DC-46CE-B0B6-460607A6074B}" destId="{E514ED70-5FE1-42B5-8196-1C38D21D946D}" srcOrd="0" destOrd="0" presId="urn:microsoft.com/office/officeart/2005/8/layout/bProcess3"/>
    <dgm:cxn modelId="{39D4BA69-EFE9-44A2-9D7F-09AE264D7E73}" type="presParOf" srcId="{ADCC2D19-2071-48E6-A2DC-923D1F9566D0}" destId="{CC160B18-A2D5-4387-827F-046CE83AFEBA}" srcOrd="20" destOrd="0" presId="urn:microsoft.com/office/officeart/2005/8/layout/bProcess3"/>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DA9960-8022-4885-B8A4-DC69E117E4A9}">
      <dsp:nvSpPr>
        <dsp:cNvPr id="0" name=""/>
        <dsp:cNvSpPr/>
      </dsp:nvSpPr>
      <dsp:spPr>
        <a:xfrm>
          <a:off x="1238350" y="321128"/>
          <a:ext cx="249820" cy="91440"/>
        </a:xfrm>
        <a:custGeom>
          <a:avLst/>
          <a:gdLst/>
          <a:ahLst/>
          <a:cxnLst/>
          <a:rect l="0" t="0" r="0" b="0"/>
          <a:pathLst>
            <a:path>
              <a:moveTo>
                <a:pt x="0" y="45720"/>
              </a:moveTo>
              <a:lnTo>
                <a:pt x="217090"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ts val="0"/>
            </a:spcAft>
            <a:buNone/>
          </a:pPr>
          <a:endParaRPr lang="pl-PL" sz="800" kern="1200">
            <a:solidFill>
              <a:sysClr val="windowText" lastClr="000000">
                <a:lumMod val="75000"/>
                <a:lumOff val="25000"/>
              </a:sysClr>
            </a:solidFill>
            <a:latin typeface="Century Gothic"/>
            <a:ea typeface="+mn-ea"/>
            <a:cs typeface="+mn-cs"/>
          </a:endParaRPr>
        </a:p>
      </dsp:txBody>
      <dsp:txXfrm>
        <a:off x="1356250" y="365446"/>
        <a:ext cx="14021" cy="2804"/>
      </dsp:txXfrm>
    </dsp:sp>
    <dsp:sp modelId="{5116AAEB-09AA-445A-BF91-52FC1BE5EBBA}">
      <dsp:nvSpPr>
        <dsp:cNvPr id="0" name=""/>
        <dsp:cNvSpPr/>
      </dsp:nvSpPr>
      <dsp:spPr>
        <a:xfrm>
          <a:off x="20932" y="1082"/>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Firma lub osoba zainteresowana usługą rejestruje się </a:t>
          </a:r>
          <a:br>
            <a:rPr lang="pl-PL" sz="800" kern="1200">
              <a:solidFill>
                <a:sysClr val="windowText" lastClr="000000">
                  <a:lumMod val="75000"/>
                  <a:lumOff val="25000"/>
                </a:sysClr>
              </a:solidFill>
              <a:latin typeface="Century Gothic"/>
              <a:ea typeface="+mn-ea"/>
              <a:cs typeface="+mn-cs"/>
            </a:rPr>
          </a:br>
          <a:r>
            <a:rPr lang="pl-PL" sz="800" kern="1200">
              <a:solidFill>
                <a:sysClr val="windowText" lastClr="000000">
                  <a:lumMod val="75000"/>
                  <a:lumOff val="25000"/>
                </a:sysClr>
              </a:solidFill>
              <a:latin typeface="Century Gothic"/>
              <a:ea typeface="+mn-ea"/>
              <a:cs typeface="+mn-cs"/>
            </a:rPr>
            <a:t>w BUR </a:t>
          </a:r>
        </a:p>
      </dsp:txBody>
      <dsp:txXfrm>
        <a:off x="20932" y="1082"/>
        <a:ext cx="1219218" cy="731531"/>
      </dsp:txXfrm>
    </dsp:sp>
    <dsp:sp modelId="{E381A5EF-45B0-4D75-BAC2-524C5A81FB23}">
      <dsp:nvSpPr>
        <dsp:cNvPr id="0" name=""/>
        <dsp:cNvSpPr/>
      </dsp:nvSpPr>
      <dsp:spPr>
        <a:xfrm>
          <a:off x="2737989" y="321128"/>
          <a:ext cx="259671" cy="91440"/>
        </a:xfrm>
        <a:custGeom>
          <a:avLst/>
          <a:gdLst/>
          <a:ahLst/>
          <a:cxnLst/>
          <a:rect l="0" t="0" r="0" b="0"/>
          <a:pathLst>
            <a:path>
              <a:moveTo>
                <a:pt x="0" y="45720"/>
              </a:moveTo>
              <a:lnTo>
                <a:pt x="225791"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ts val="0"/>
            </a:spcAft>
            <a:buNone/>
          </a:pPr>
          <a:endParaRPr lang="pl-PL" sz="800" kern="1200">
            <a:solidFill>
              <a:sysClr val="windowText" lastClr="000000">
                <a:lumMod val="75000"/>
                <a:lumOff val="25000"/>
              </a:sysClr>
            </a:solidFill>
            <a:latin typeface="Century Gothic"/>
            <a:ea typeface="+mn-ea"/>
            <a:cs typeface="+mn-cs"/>
          </a:endParaRPr>
        </a:p>
      </dsp:txBody>
      <dsp:txXfrm>
        <a:off x="2860568" y="365446"/>
        <a:ext cx="14513" cy="2804"/>
      </dsp:txXfrm>
    </dsp:sp>
    <dsp:sp modelId="{BC176433-86C6-4714-954C-C2AD549F0A2C}">
      <dsp:nvSpPr>
        <dsp:cNvPr id="0" name=""/>
        <dsp:cNvSpPr/>
      </dsp:nvSpPr>
      <dsp:spPr>
        <a:xfrm>
          <a:off x="1520571" y="1082"/>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Firma lub osoba zainteresowana usługą wysyła formularz zgłoszeniowy </a:t>
          </a:r>
        </a:p>
      </dsp:txBody>
      <dsp:txXfrm>
        <a:off x="1520571" y="1082"/>
        <a:ext cx="1219218" cy="731531"/>
      </dsp:txXfrm>
    </dsp:sp>
    <dsp:sp modelId="{7D959D5D-73AE-4AEC-8EA5-C29C93637867}">
      <dsp:nvSpPr>
        <dsp:cNvPr id="0" name=""/>
        <dsp:cNvSpPr/>
      </dsp:nvSpPr>
      <dsp:spPr>
        <a:xfrm>
          <a:off x="4247480" y="321128"/>
          <a:ext cx="239969" cy="91440"/>
        </a:xfrm>
        <a:custGeom>
          <a:avLst/>
          <a:gdLst/>
          <a:ahLst/>
          <a:cxnLst/>
          <a:rect l="0" t="0" r="0" b="0"/>
          <a:pathLst>
            <a:path>
              <a:moveTo>
                <a:pt x="0" y="45720"/>
              </a:moveTo>
              <a:lnTo>
                <a:pt x="20838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ts val="0"/>
            </a:spcAft>
            <a:buNone/>
          </a:pPr>
          <a:endParaRPr lang="pl-PL" sz="800" kern="1200">
            <a:solidFill>
              <a:sysClr val="windowText" lastClr="000000">
                <a:lumMod val="75000"/>
                <a:lumOff val="25000"/>
              </a:sysClr>
            </a:solidFill>
            <a:latin typeface="Century Gothic"/>
            <a:ea typeface="+mn-ea"/>
            <a:cs typeface="+mn-cs"/>
          </a:endParaRPr>
        </a:p>
      </dsp:txBody>
      <dsp:txXfrm>
        <a:off x="4360700" y="365446"/>
        <a:ext cx="13528" cy="2804"/>
      </dsp:txXfrm>
    </dsp:sp>
    <dsp:sp modelId="{88505FE5-94B6-47D9-9F7D-12BACD25D505}">
      <dsp:nvSpPr>
        <dsp:cNvPr id="0" name=""/>
        <dsp:cNvSpPr/>
      </dsp:nvSpPr>
      <dsp:spPr>
        <a:xfrm>
          <a:off x="3030061" y="1082"/>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Operator</a:t>
          </a:r>
          <a:r>
            <a:rPr lang="pl-PL" sz="800" kern="1200" baseline="0">
              <a:solidFill>
                <a:sysClr val="windowText" lastClr="000000">
                  <a:lumMod val="75000"/>
                  <a:lumOff val="25000"/>
                </a:sysClr>
              </a:solidFill>
              <a:latin typeface="Century Gothic"/>
              <a:ea typeface="+mn-ea"/>
              <a:cs typeface="+mn-cs"/>
            </a:rPr>
            <a:t>* weryfikuje formularz zgłoszeniowy</a:t>
          </a:r>
          <a:r>
            <a:rPr lang="pl-PL" sz="800" kern="1200">
              <a:solidFill>
                <a:sysClr val="windowText" lastClr="000000">
                  <a:lumMod val="75000"/>
                  <a:lumOff val="25000"/>
                </a:sysClr>
              </a:solidFill>
              <a:latin typeface="Century Gothic"/>
              <a:ea typeface="+mn-ea"/>
              <a:cs typeface="+mn-cs"/>
            </a:rPr>
            <a:t> </a:t>
          </a:r>
        </a:p>
      </dsp:txBody>
      <dsp:txXfrm>
        <a:off x="3030061" y="1082"/>
        <a:ext cx="1219218" cy="731531"/>
      </dsp:txXfrm>
    </dsp:sp>
    <dsp:sp modelId="{008F0687-D7F2-4342-969A-2ED93B82267A}">
      <dsp:nvSpPr>
        <dsp:cNvPr id="0" name=""/>
        <dsp:cNvSpPr/>
      </dsp:nvSpPr>
      <dsp:spPr>
        <a:xfrm>
          <a:off x="630541" y="730814"/>
          <a:ext cx="4498917" cy="239052"/>
        </a:xfrm>
        <a:custGeom>
          <a:avLst/>
          <a:gdLst/>
          <a:ahLst/>
          <a:cxnLst/>
          <a:rect l="0" t="0" r="0" b="0"/>
          <a:pathLst>
            <a:path>
              <a:moveTo>
                <a:pt x="3973812" y="0"/>
              </a:moveTo>
              <a:lnTo>
                <a:pt x="3973812" y="120889"/>
              </a:lnTo>
              <a:lnTo>
                <a:pt x="0" y="120889"/>
              </a:lnTo>
              <a:lnTo>
                <a:pt x="0" y="207578"/>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ts val="0"/>
            </a:spcAft>
            <a:buNone/>
          </a:pPr>
          <a:endParaRPr lang="pl-PL" sz="800" kern="1200">
            <a:solidFill>
              <a:sysClr val="windowText" lastClr="000000">
                <a:lumMod val="75000"/>
                <a:lumOff val="25000"/>
              </a:sysClr>
            </a:solidFill>
            <a:latin typeface="Century Gothic"/>
            <a:ea typeface="+mn-ea"/>
            <a:cs typeface="+mn-cs"/>
          </a:endParaRPr>
        </a:p>
      </dsp:txBody>
      <dsp:txXfrm>
        <a:off x="2767325" y="848938"/>
        <a:ext cx="225349" cy="2804"/>
      </dsp:txXfrm>
    </dsp:sp>
    <dsp:sp modelId="{1B5A1223-2CF7-46EA-BBC0-83517119EA6B}">
      <dsp:nvSpPr>
        <dsp:cNvPr id="0" name=""/>
        <dsp:cNvSpPr/>
      </dsp:nvSpPr>
      <dsp:spPr>
        <a:xfrm>
          <a:off x="4519849" y="1082"/>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Uczestnik wybiera usługę poprzez BUR </a:t>
          </a:r>
        </a:p>
      </dsp:txBody>
      <dsp:txXfrm>
        <a:off x="4519849" y="1082"/>
        <a:ext cx="1219218" cy="731531"/>
      </dsp:txXfrm>
    </dsp:sp>
    <dsp:sp modelId="{F13D9DCC-55A6-4C5A-8EA2-A4F0D45B1FFE}">
      <dsp:nvSpPr>
        <dsp:cNvPr id="0" name=""/>
        <dsp:cNvSpPr/>
      </dsp:nvSpPr>
      <dsp:spPr>
        <a:xfrm>
          <a:off x="1238350" y="1322311"/>
          <a:ext cx="249820" cy="91440"/>
        </a:xfrm>
        <a:custGeom>
          <a:avLst/>
          <a:gdLst/>
          <a:ahLst/>
          <a:cxnLst/>
          <a:rect l="0" t="0" r="0" b="0"/>
          <a:pathLst>
            <a:path>
              <a:moveTo>
                <a:pt x="0" y="45720"/>
              </a:moveTo>
              <a:lnTo>
                <a:pt x="125645" y="45720"/>
              </a:lnTo>
              <a:lnTo>
                <a:pt x="125645" y="55231"/>
              </a:lnTo>
              <a:lnTo>
                <a:pt x="217090" y="55231"/>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ts val="0"/>
            </a:spcAft>
            <a:buNone/>
          </a:pPr>
          <a:endParaRPr lang="pl-PL" sz="500" kern="1200">
            <a:solidFill>
              <a:sysClr val="windowText" lastClr="000000">
                <a:lumMod val="75000"/>
                <a:lumOff val="25000"/>
              </a:sysClr>
            </a:solidFill>
            <a:latin typeface="Century Gothic"/>
            <a:ea typeface="+mn-ea"/>
            <a:cs typeface="+mn-cs"/>
          </a:endParaRPr>
        </a:p>
      </dsp:txBody>
      <dsp:txXfrm>
        <a:off x="1356245" y="1366629"/>
        <a:ext cx="14031" cy="2804"/>
      </dsp:txXfrm>
    </dsp:sp>
    <dsp:sp modelId="{5A80C465-5BED-40EE-81C6-13F9281B6074}">
      <dsp:nvSpPr>
        <dsp:cNvPr id="0" name=""/>
        <dsp:cNvSpPr/>
      </dsp:nvSpPr>
      <dsp:spPr>
        <a:xfrm>
          <a:off x="20932" y="1002266"/>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Operator zawiera z uczestnikiem umowę dofinansowania</a:t>
          </a:r>
        </a:p>
      </dsp:txBody>
      <dsp:txXfrm>
        <a:off x="20932" y="1002266"/>
        <a:ext cx="1219218" cy="731531"/>
      </dsp:txXfrm>
    </dsp:sp>
    <dsp:sp modelId="{7CF346BE-2EB6-4EEB-9437-36367447B014}">
      <dsp:nvSpPr>
        <dsp:cNvPr id="0" name=""/>
        <dsp:cNvSpPr/>
      </dsp:nvSpPr>
      <dsp:spPr>
        <a:xfrm>
          <a:off x="2737989" y="1333079"/>
          <a:ext cx="249820" cy="91440"/>
        </a:xfrm>
        <a:custGeom>
          <a:avLst/>
          <a:gdLst/>
          <a:ahLst/>
          <a:cxnLst/>
          <a:rect l="0" t="0" r="0" b="0"/>
          <a:pathLst>
            <a:path>
              <a:moveTo>
                <a:pt x="0" y="45720"/>
              </a:moveTo>
              <a:lnTo>
                <a:pt x="217090"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ts val="0"/>
            </a:spcAft>
            <a:buNone/>
          </a:pPr>
          <a:endParaRPr lang="pl-PL" sz="500" kern="1200">
            <a:solidFill>
              <a:sysClr val="windowText" lastClr="000000">
                <a:lumMod val="75000"/>
                <a:lumOff val="25000"/>
              </a:sysClr>
            </a:solidFill>
            <a:latin typeface="Century Gothic"/>
            <a:ea typeface="+mn-ea"/>
            <a:cs typeface="+mn-cs"/>
          </a:endParaRPr>
        </a:p>
      </dsp:txBody>
      <dsp:txXfrm>
        <a:off x="2855889" y="1377397"/>
        <a:ext cx="14021" cy="2804"/>
      </dsp:txXfrm>
    </dsp:sp>
    <dsp:sp modelId="{FC7FC0A1-948D-4AF5-A11A-F11E01CEB6E6}">
      <dsp:nvSpPr>
        <dsp:cNvPr id="0" name=""/>
        <dsp:cNvSpPr/>
      </dsp:nvSpPr>
      <dsp:spPr>
        <a:xfrm>
          <a:off x="1520571" y="1013034"/>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Uczestnik opłaca usługę </a:t>
          </a:r>
        </a:p>
      </dsp:txBody>
      <dsp:txXfrm>
        <a:off x="1520571" y="1013034"/>
        <a:ext cx="1219218" cy="731531"/>
      </dsp:txXfrm>
    </dsp:sp>
    <dsp:sp modelId="{8742AD7B-A92F-4600-B729-3721561595D5}">
      <dsp:nvSpPr>
        <dsp:cNvPr id="0" name=""/>
        <dsp:cNvSpPr/>
      </dsp:nvSpPr>
      <dsp:spPr>
        <a:xfrm>
          <a:off x="4237628" y="1333079"/>
          <a:ext cx="249820" cy="91440"/>
        </a:xfrm>
        <a:custGeom>
          <a:avLst/>
          <a:gdLst/>
          <a:ahLst/>
          <a:cxnLst/>
          <a:rect l="0" t="0" r="0" b="0"/>
          <a:pathLst>
            <a:path>
              <a:moveTo>
                <a:pt x="0" y="45720"/>
              </a:moveTo>
              <a:lnTo>
                <a:pt x="217090"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ts val="0"/>
            </a:spcAft>
            <a:buNone/>
          </a:pPr>
          <a:endParaRPr lang="pl-PL" sz="500" kern="1200">
            <a:solidFill>
              <a:sysClr val="windowText" lastClr="000000">
                <a:lumMod val="75000"/>
                <a:lumOff val="25000"/>
              </a:sysClr>
            </a:solidFill>
            <a:latin typeface="Century Gothic"/>
            <a:ea typeface="+mn-ea"/>
            <a:cs typeface="+mn-cs"/>
          </a:endParaRPr>
        </a:p>
      </dsp:txBody>
      <dsp:txXfrm>
        <a:off x="4355528" y="1377397"/>
        <a:ext cx="14021" cy="2804"/>
      </dsp:txXfrm>
    </dsp:sp>
    <dsp:sp modelId="{5760CDF3-73E3-4718-816C-2BE98E7D85D1}">
      <dsp:nvSpPr>
        <dsp:cNvPr id="0" name=""/>
        <dsp:cNvSpPr/>
      </dsp:nvSpPr>
      <dsp:spPr>
        <a:xfrm>
          <a:off x="3020210" y="1013034"/>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Usługa zostaje zrealizowana</a:t>
          </a:r>
        </a:p>
      </dsp:txBody>
      <dsp:txXfrm>
        <a:off x="3020210" y="1013034"/>
        <a:ext cx="1219218" cy="731531"/>
      </dsp:txXfrm>
    </dsp:sp>
    <dsp:sp modelId="{999F8EE4-9AA9-4946-A755-9EB8271AFE1A}">
      <dsp:nvSpPr>
        <dsp:cNvPr id="0" name=""/>
        <dsp:cNvSpPr/>
      </dsp:nvSpPr>
      <dsp:spPr>
        <a:xfrm>
          <a:off x="630541" y="1742765"/>
          <a:ext cx="4498917" cy="249820"/>
        </a:xfrm>
        <a:custGeom>
          <a:avLst/>
          <a:gdLst/>
          <a:ahLst/>
          <a:cxnLst/>
          <a:rect l="0" t="0" r="0" b="0"/>
          <a:pathLst>
            <a:path>
              <a:moveTo>
                <a:pt x="3973812" y="0"/>
              </a:moveTo>
              <a:lnTo>
                <a:pt x="3973812" y="125645"/>
              </a:lnTo>
              <a:lnTo>
                <a:pt x="0" y="125645"/>
              </a:lnTo>
              <a:lnTo>
                <a:pt x="0" y="21709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ts val="0"/>
            </a:spcAft>
            <a:buNone/>
          </a:pPr>
          <a:endParaRPr lang="pl-PL" sz="500" kern="1200">
            <a:solidFill>
              <a:sysClr val="windowText" lastClr="000000">
                <a:lumMod val="75000"/>
                <a:lumOff val="25000"/>
              </a:sysClr>
            </a:solidFill>
            <a:latin typeface="Century Gothic"/>
            <a:ea typeface="+mn-ea"/>
            <a:cs typeface="+mn-cs"/>
          </a:endParaRPr>
        </a:p>
      </dsp:txBody>
      <dsp:txXfrm>
        <a:off x="2767308" y="1866273"/>
        <a:ext cx="225382" cy="2804"/>
      </dsp:txXfrm>
    </dsp:sp>
    <dsp:sp modelId="{D02A59D6-8A5F-45D3-8B57-102379EB4237}">
      <dsp:nvSpPr>
        <dsp:cNvPr id="0" name=""/>
        <dsp:cNvSpPr/>
      </dsp:nvSpPr>
      <dsp:spPr>
        <a:xfrm>
          <a:off x="4519849" y="1013034"/>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Uczestnik dokonuje oceny usługi poprzez BUR</a:t>
          </a:r>
        </a:p>
      </dsp:txBody>
      <dsp:txXfrm>
        <a:off x="4519849" y="1013034"/>
        <a:ext cx="1219218" cy="731531"/>
      </dsp:txXfrm>
    </dsp:sp>
    <dsp:sp modelId="{CCA88960-5EB3-4D31-BB2E-8942F3BA371F}">
      <dsp:nvSpPr>
        <dsp:cNvPr id="0" name=""/>
        <dsp:cNvSpPr/>
      </dsp:nvSpPr>
      <dsp:spPr>
        <a:xfrm>
          <a:off x="20932" y="2024985"/>
          <a:ext cx="1219218" cy="731531"/>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ts val="0"/>
            </a:spcAft>
            <a:buNone/>
          </a:pPr>
          <a:r>
            <a:rPr lang="pl-PL" sz="800" kern="1200">
              <a:solidFill>
                <a:sysClr val="windowText" lastClr="000000">
                  <a:lumMod val="75000"/>
                  <a:lumOff val="25000"/>
                </a:sysClr>
              </a:solidFill>
              <a:latin typeface="Century Gothic"/>
              <a:ea typeface="+mn-ea"/>
              <a:cs typeface="+mn-cs"/>
            </a:rPr>
            <a:t>Operator refunduje koszty uczestnika (do wysokości wkładu własnego) </a:t>
          </a:r>
        </a:p>
      </dsp:txBody>
      <dsp:txXfrm>
        <a:off x="20932" y="2024985"/>
        <a:ext cx="1219218" cy="7315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DA9960-8022-4885-B8A4-DC69E117E4A9}">
      <dsp:nvSpPr>
        <dsp:cNvPr id="0" name=""/>
        <dsp:cNvSpPr/>
      </dsp:nvSpPr>
      <dsp:spPr>
        <a:xfrm>
          <a:off x="1238505" y="321421"/>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buNone/>
          </a:pPr>
          <a:endParaRPr lang="pl-PL" sz="800" kern="1200">
            <a:solidFill>
              <a:sysClr val="windowText" lastClr="000000">
                <a:lumMod val="75000"/>
                <a:lumOff val="25000"/>
              </a:sysClr>
            </a:solidFill>
            <a:latin typeface="Century Gothic"/>
            <a:ea typeface="+mn-ea"/>
            <a:cs typeface="+mn-cs"/>
          </a:endParaRPr>
        </a:p>
      </dsp:txBody>
      <dsp:txXfrm>
        <a:off x="1356422" y="365739"/>
        <a:ext cx="14022" cy="2804"/>
      </dsp:txXfrm>
    </dsp:sp>
    <dsp:sp modelId="{5116AAEB-09AA-445A-BF91-52FC1BE5EBBA}">
      <dsp:nvSpPr>
        <dsp:cNvPr id="0" name=""/>
        <dsp:cNvSpPr/>
      </dsp:nvSpPr>
      <dsp:spPr>
        <a:xfrm>
          <a:off x="20934" y="1330"/>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Firma lub osoba zainteresowana usługą zgłasza się do operatora</a:t>
          </a:r>
        </a:p>
      </dsp:txBody>
      <dsp:txXfrm>
        <a:off x="20934" y="1330"/>
        <a:ext cx="1219371" cy="731622"/>
      </dsp:txXfrm>
    </dsp:sp>
    <dsp:sp modelId="{E381A5EF-45B0-4D75-BAC2-524C5A81FB23}">
      <dsp:nvSpPr>
        <dsp:cNvPr id="0" name=""/>
        <dsp:cNvSpPr/>
      </dsp:nvSpPr>
      <dsp:spPr>
        <a:xfrm>
          <a:off x="2738332" y="321421"/>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buNone/>
          </a:pPr>
          <a:endParaRPr lang="pl-PL" sz="800" kern="1200">
            <a:solidFill>
              <a:sysClr val="windowText" lastClr="000000">
                <a:lumMod val="75000"/>
                <a:lumOff val="25000"/>
              </a:sysClr>
            </a:solidFill>
            <a:latin typeface="Century Gothic"/>
            <a:ea typeface="+mn-ea"/>
            <a:cs typeface="+mn-cs"/>
          </a:endParaRPr>
        </a:p>
      </dsp:txBody>
      <dsp:txXfrm>
        <a:off x="2856248" y="365739"/>
        <a:ext cx="14022" cy="2804"/>
      </dsp:txXfrm>
    </dsp:sp>
    <dsp:sp modelId="{BC176433-86C6-4714-954C-C2AD549F0A2C}">
      <dsp:nvSpPr>
        <dsp:cNvPr id="0" name=""/>
        <dsp:cNvSpPr/>
      </dsp:nvSpPr>
      <dsp:spPr>
        <a:xfrm>
          <a:off x="1520761" y="1330"/>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Operator weryfikuje uprawnienia uczestnika do skorzystania z usługi </a:t>
          </a:r>
        </a:p>
      </dsp:txBody>
      <dsp:txXfrm>
        <a:off x="1520761" y="1330"/>
        <a:ext cx="1219371" cy="731622"/>
      </dsp:txXfrm>
    </dsp:sp>
    <dsp:sp modelId="{7D959D5D-73AE-4AEC-8EA5-C29C93637867}">
      <dsp:nvSpPr>
        <dsp:cNvPr id="0" name=""/>
        <dsp:cNvSpPr/>
      </dsp:nvSpPr>
      <dsp:spPr>
        <a:xfrm>
          <a:off x="4238158" y="321421"/>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buNone/>
          </a:pPr>
          <a:endParaRPr lang="pl-PL" sz="800" kern="1200">
            <a:solidFill>
              <a:sysClr val="windowText" lastClr="000000">
                <a:lumMod val="75000"/>
                <a:lumOff val="25000"/>
              </a:sysClr>
            </a:solidFill>
            <a:latin typeface="Century Gothic"/>
            <a:ea typeface="+mn-ea"/>
            <a:cs typeface="+mn-cs"/>
          </a:endParaRPr>
        </a:p>
      </dsp:txBody>
      <dsp:txXfrm>
        <a:off x="4356075" y="365739"/>
        <a:ext cx="14022" cy="2804"/>
      </dsp:txXfrm>
    </dsp:sp>
    <dsp:sp modelId="{88505FE5-94B6-47D9-9F7D-12BACD25D505}">
      <dsp:nvSpPr>
        <dsp:cNvPr id="0" name=""/>
        <dsp:cNvSpPr/>
      </dsp:nvSpPr>
      <dsp:spPr>
        <a:xfrm>
          <a:off x="3020587" y="1330"/>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Operator podpisuje z uczestnikiem umowę o dofinansowanie</a:t>
          </a:r>
        </a:p>
      </dsp:txBody>
      <dsp:txXfrm>
        <a:off x="3020587" y="1330"/>
        <a:ext cx="1219371" cy="731622"/>
      </dsp:txXfrm>
    </dsp:sp>
    <dsp:sp modelId="{008F0687-D7F2-4342-969A-2ED93B82267A}">
      <dsp:nvSpPr>
        <dsp:cNvPr id="0" name=""/>
        <dsp:cNvSpPr/>
      </dsp:nvSpPr>
      <dsp:spPr>
        <a:xfrm>
          <a:off x="630620" y="731153"/>
          <a:ext cx="4499479" cy="249855"/>
        </a:xfrm>
        <a:custGeom>
          <a:avLst/>
          <a:gdLst/>
          <a:ahLst/>
          <a:cxnLst/>
          <a:rect l="0" t="0" r="0" b="0"/>
          <a:pathLst>
            <a:path>
              <a:moveTo>
                <a:pt x="4582803" y="0"/>
              </a:moveTo>
              <a:lnTo>
                <a:pt x="4582803" y="144624"/>
              </a:lnTo>
              <a:lnTo>
                <a:pt x="0" y="144624"/>
              </a:lnTo>
              <a:lnTo>
                <a:pt x="0" y="255048"/>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buNone/>
          </a:pPr>
          <a:endParaRPr lang="pl-PL" sz="800" kern="1200">
            <a:solidFill>
              <a:sysClr val="windowText" lastClr="000000">
                <a:lumMod val="75000"/>
                <a:lumOff val="25000"/>
              </a:sysClr>
            </a:solidFill>
            <a:latin typeface="Century Gothic"/>
            <a:ea typeface="+mn-ea"/>
            <a:cs typeface="+mn-cs"/>
          </a:endParaRPr>
        </a:p>
      </dsp:txBody>
      <dsp:txXfrm>
        <a:off x="2767654" y="854678"/>
        <a:ext cx="225410" cy="2804"/>
      </dsp:txXfrm>
    </dsp:sp>
    <dsp:sp modelId="{1B5A1223-2CF7-46EA-BBC0-83517119EA6B}">
      <dsp:nvSpPr>
        <dsp:cNvPr id="0" name=""/>
        <dsp:cNvSpPr/>
      </dsp:nvSpPr>
      <dsp:spPr>
        <a:xfrm>
          <a:off x="4520414" y="1330"/>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Uczestnik rejestruje się w BUR i wnosi wkład własny</a:t>
          </a:r>
        </a:p>
      </dsp:txBody>
      <dsp:txXfrm>
        <a:off x="4520414" y="1330"/>
        <a:ext cx="1219371" cy="731622"/>
      </dsp:txXfrm>
    </dsp:sp>
    <dsp:sp modelId="{F13D9DCC-55A6-4C5A-8EA2-A4F0D45B1FFE}">
      <dsp:nvSpPr>
        <dsp:cNvPr id="0" name=""/>
        <dsp:cNvSpPr/>
      </dsp:nvSpPr>
      <dsp:spPr>
        <a:xfrm>
          <a:off x="1238505" y="1333500"/>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pl-PL" sz="500" kern="1200">
            <a:solidFill>
              <a:sysClr val="windowText" lastClr="000000">
                <a:lumMod val="75000"/>
                <a:lumOff val="25000"/>
              </a:sysClr>
            </a:solidFill>
            <a:latin typeface="Century Gothic"/>
            <a:ea typeface="+mn-ea"/>
            <a:cs typeface="+mn-cs"/>
          </a:endParaRPr>
        </a:p>
      </dsp:txBody>
      <dsp:txXfrm>
        <a:off x="1356422" y="1377817"/>
        <a:ext cx="14022" cy="2804"/>
      </dsp:txXfrm>
    </dsp:sp>
    <dsp:sp modelId="{5A80C465-5BED-40EE-81C6-13F9281B6074}">
      <dsp:nvSpPr>
        <dsp:cNvPr id="0" name=""/>
        <dsp:cNvSpPr/>
      </dsp:nvSpPr>
      <dsp:spPr>
        <a:xfrm>
          <a:off x="20934" y="1013408"/>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Operator przekazuje uczestnikowi bony </a:t>
          </a:r>
        </a:p>
      </dsp:txBody>
      <dsp:txXfrm>
        <a:off x="20934" y="1013408"/>
        <a:ext cx="1219371" cy="731622"/>
      </dsp:txXfrm>
    </dsp:sp>
    <dsp:sp modelId="{C4F4A902-D6F2-42AF-947E-8C1A4B2AC5F3}">
      <dsp:nvSpPr>
        <dsp:cNvPr id="0" name=""/>
        <dsp:cNvSpPr/>
      </dsp:nvSpPr>
      <dsp:spPr>
        <a:xfrm>
          <a:off x="2738332" y="1333500"/>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pl-PL" sz="500" kern="1200">
            <a:solidFill>
              <a:sysClr val="windowText" lastClr="000000">
                <a:lumMod val="75000"/>
                <a:lumOff val="25000"/>
              </a:sysClr>
            </a:solidFill>
            <a:latin typeface="Century Gothic"/>
            <a:ea typeface="+mn-ea"/>
            <a:cs typeface="+mn-cs"/>
          </a:endParaRPr>
        </a:p>
      </dsp:txBody>
      <dsp:txXfrm>
        <a:off x="2856248" y="1377817"/>
        <a:ext cx="14022" cy="2804"/>
      </dsp:txXfrm>
    </dsp:sp>
    <dsp:sp modelId="{FC7FC0A1-948D-4AF5-A11A-F11E01CEB6E6}">
      <dsp:nvSpPr>
        <dsp:cNvPr id="0" name=""/>
        <dsp:cNvSpPr/>
      </dsp:nvSpPr>
      <dsp:spPr>
        <a:xfrm>
          <a:off x="1520761" y="1013408"/>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Uczestnik przekazuje bony instytucji szkoleniowej </a:t>
          </a:r>
        </a:p>
      </dsp:txBody>
      <dsp:txXfrm>
        <a:off x="1520761" y="1013408"/>
        <a:ext cx="1219371" cy="731622"/>
      </dsp:txXfrm>
    </dsp:sp>
    <dsp:sp modelId="{3893C878-5A8F-4594-8E65-64AA2BD9B7B4}">
      <dsp:nvSpPr>
        <dsp:cNvPr id="0" name=""/>
        <dsp:cNvSpPr/>
      </dsp:nvSpPr>
      <dsp:spPr>
        <a:xfrm>
          <a:off x="4238158" y="1333500"/>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pl-PL" sz="500" kern="1200">
            <a:solidFill>
              <a:sysClr val="windowText" lastClr="000000">
                <a:lumMod val="75000"/>
                <a:lumOff val="25000"/>
              </a:sysClr>
            </a:solidFill>
            <a:latin typeface="Century Gothic"/>
            <a:ea typeface="+mn-ea"/>
            <a:cs typeface="+mn-cs"/>
          </a:endParaRPr>
        </a:p>
      </dsp:txBody>
      <dsp:txXfrm>
        <a:off x="4356075" y="1377817"/>
        <a:ext cx="14022" cy="2804"/>
      </dsp:txXfrm>
    </dsp:sp>
    <dsp:sp modelId="{F666B0F6-174E-4D4E-A0D9-F3C567FAFBF8}">
      <dsp:nvSpPr>
        <dsp:cNvPr id="0" name=""/>
        <dsp:cNvSpPr/>
      </dsp:nvSpPr>
      <dsp:spPr>
        <a:xfrm>
          <a:off x="3020587" y="1013408"/>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Usługa zostaje zrealizowana</a:t>
          </a:r>
        </a:p>
      </dsp:txBody>
      <dsp:txXfrm>
        <a:off x="3020587" y="1013408"/>
        <a:ext cx="1219371" cy="731622"/>
      </dsp:txXfrm>
    </dsp:sp>
    <dsp:sp modelId="{9C4A58B7-167C-4A2D-ABAA-4035CDB6A1E9}">
      <dsp:nvSpPr>
        <dsp:cNvPr id="0" name=""/>
        <dsp:cNvSpPr/>
      </dsp:nvSpPr>
      <dsp:spPr>
        <a:xfrm>
          <a:off x="630620" y="1743231"/>
          <a:ext cx="4499479" cy="249855"/>
        </a:xfrm>
        <a:custGeom>
          <a:avLst/>
          <a:gdLst/>
          <a:ahLst/>
          <a:cxnLst/>
          <a:rect l="0" t="0" r="0" b="0"/>
          <a:pathLst>
            <a:path>
              <a:moveTo>
                <a:pt x="4582803" y="0"/>
              </a:moveTo>
              <a:lnTo>
                <a:pt x="4582803" y="144624"/>
              </a:lnTo>
              <a:lnTo>
                <a:pt x="0" y="144624"/>
              </a:lnTo>
              <a:lnTo>
                <a:pt x="0" y="255048"/>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pl-PL" sz="500" kern="1200">
            <a:solidFill>
              <a:sysClr val="windowText" lastClr="000000">
                <a:lumMod val="75000"/>
                <a:lumOff val="25000"/>
              </a:sysClr>
            </a:solidFill>
            <a:latin typeface="Century Gothic"/>
            <a:ea typeface="+mn-ea"/>
            <a:cs typeface="+mn-cs"/>
          </a:endParaRPr>
        </a:p>
      </dsp:txBody>
      <dsp:txXfrm>
        <a:off x="2767654" y="1866756"/>
        <a:ext cx="225410" cy="2804"/>
      </dsp:txXfrm>
    </dsp:sp>
    <dsp:sp modelId="{4EB06A87-104B-4D7B-B74E-64F41E840791}">
      <dsp:nvSpPr>
        <dsp:cNvPr id="0" name=""/>
        <dsp:cNvSpPr/>
      </dsp:nvSpPr>
      <dsp:spPr>
        <a:xfrm>
          <a:off x="4520414" y="1013408"/>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Uczestnik dokonuje oceny usługi w BUR</a:t>
          </a:r>
        </a:p>
      </dsp:txBody>
      <dsp:txXfrm>
        <a:off x="4520414" y="1013408"/>
        <a:ext cx="1219371" cy="731622"/>
      </dsp:txXfrm>
    </dsp:sp>
    <dsp:sp modelId="{97049CA0-A6D4-462D-9422-2AAFBE31DA23}">
      <dsp:nvSpPr>
        <dsp:cNvPr id="0" name=""/>
        <dsp:cNvSpPr/>
      </dsp:nvSpPr>
      <dsp:spPr>
        <a:xfrm>
          <a:off x="1238505" y="2345578"/>
          <a:ext cx="249855" cy="91440"/>
        </a:xfrm>
        <a:custGeom>
          <a:avLst/>
          <a:gdLst/>
          <a:ahLst/>
          <a:cxnLst/>
          <a:rect l="0" t="0" r="0" b="0"/>
          <a:pathLst>
            <a:path>
              <a:moveTo>
                <a:pt x="0" y="45720"/>
              </a:moveTo>
              <a:lnTo>
                <a:pt x="255048" y="45720"/>
              </a:lnTo>
            </a:path>
          </a:pathLst>
        </a:custGeom>
        <a:noFill/>
        <a:ln w="6350" cap="flat" cmpd="sng" algn="ctr">
          <a:solidFill>
            <a:srgbClr val="5F9C9D">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pl-PL" sz="500" kern="1200">
            <a:solidFill>
              <a:sysClr val="windowText" lastClr="000000">
                <a:lumMod val="75000"/>
                <a:lumOff val="25000"/>
              </a:sysClr>
            </a:solidFill>
            <a:latin typeface="Century Gothic"/>
            <a:ea typeface="+mn-ea"/>
            <a:cs typeface="+mn-cs"/>
          </a:endParaRPr>
        </a:p>
      </dsp:txBody>
      <dsp:txXfrm>
        <a:off x="1356422" y="2389895"/>
        <a:ext cx="14022" cy="2804"/>
      </dsp:txXfrm>
    </dsp:sp>
    <dsp:sp modelId="{645C4BE9-D808-4E48-8919-46F9F49D50CF}">
      <dsp:nvSpPr>
        <dsp:cNvPr id="0" name=""/>
        <dsp:cNvSpPr/>
      </dsp:nvSpPr>
      <dsp:spPr>
        <a:xfrm>
          <a:off x="20934" y="2025486"/>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Instytucja szkoleniowa przekazuje operatorowi fakturę za wykonaną usługę</a:t>
          </a:r>
        </a:p>
      </dsp:txBody>
      <dsp:txXfrm>
        <a:off x="20934" y="2025486"/>
        <a:ext cx="1219371" cy="731622"/>
      </dsp:txXfrm>
    </dsp:sp>
    <dsp:sp modelId="{AB30B9DB-22CD-419E-BCA8-82575E54A099}">
      <dsp:nvSpPr>
        <dsp:cNvPr id="0" name=""/>
        <dsp:cNvSpPr/>
      </dsp:nvSpPr>
      <dsp:spPr>
        <a:xfrm>
          <a:off x="1520761" y="2025486"/>
          <a:ext cx="1219371" cy="731622"/>
        </a:xfrm>
        <a:prstGeom prst="rect">
          <a:avLst/>
        </a:prstGeom>
        <a:solidFill>
          <a:srgbClr val="5F9C9D">
            <a:lumMod val="40000"/>
            <a:lumOff val="6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buNone/>
          </a:pPr>
          <a:r>
            <a:rPr lang="pl-PL" sz="800" kern="1200">
              <a:solidFill>
                <a:sysClr val="windowText" lastClr="000000">
                  <a:lumMod val="75000"/>
                  <a:lumOff val="25000"/>
                </a:sysClr>
              </a:solidFill>
              <a:latin typeface="Century Gothic"/>
              <a:ea typeface="+mn-ea"/>
              <a:cs typeface="+mn-cs"/>
            </a:rPr>
            <a:t>Operator przekazuje instytucji szkoleniowej środki finansowe zgodnie z wartością bonów </a:t>
          </a:r>
        </a:p>
      </dsp:txBody>
      <dsp:txXfrm>
        <a:off x="1520761" y="2025486"/>
        <a:ext cx="1219371" cy="73162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EADF1D-FFCF-450D-AAB4-F179254F6685}">
      <dsp:nvSpPr>
        <dsp:cNvPr id="0" name=""/>
        <dsp:cNvSpPr/>
      </dsp:nvSpPr>
      <dsp:spPr>
        <a:xfrm>
          <a:off x="1701803" y="452511"/>
          <a:ext cx="333590" cy="91440"/>
        </a:xfrm>
        <a:custGeom>
          <a:avLst/>
          <a:gdLst/>
          <a:ahLst/>
          <a:cxnLst/>
          <a:rect l="0" t="0" r="0" b="0"/>
          <a:pathLst>
            <a:path>
              <a:moveTo>
                <a:pt x="0" y="45720"/>
              </a:moveTo>
              <a:lnTo>
                <a:pt x="183895" y="45720"/>
              </a:lnTo>
              <a:lnTo>
                <a:pt x="183895" y="61696"/>
              </a:lnTo>
              <a:lnTo>
                <a:pt x="333590" y="61696"/>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1859485" y="496319"/>
        <a:ext cx="18227" cy="3823"/>
      </dsp:txXfrm>
    </dsp:sp>
    <dsp:sp modelId="{05F05F4B-B5C9-4D28-95F8-40427B146C56}">
      <dsp:nvSpPr>
        <dsp:cNvPr id="0" name=""/>
        <dsp:cNvSpPr/>
      </dsp:nvSpPr>
      <dsp:spPr>
        <a:xfrm>
          <a:off x="42831" y="0"/>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Przedsiębiorca poszukuje i wybiera odpowiednią usługę/ usługi rozwojowe w BUR</a:t>
          </a:r>
        </a:p>
      </dsp:txBody>
      <dsp:txXfrm>
        <a:off x="42831" y="0"/>
        <a:ext cx="1660771" cy="996463"/>
      </dsp:txXfrm>
    </dsp:sp>
    <dsp:sp modelId="{730882FD-910C-4BAC-B928-A780FA10BF76}">
      <dsp:nvSpPr>
        <dsp:cNvPr id="0" name=""/>
        <dsp:cNvSpPr/>
      </dsp:nvSpPr>
      <dsp:spPr>
        <a:xfrm>
          <a:off x="3726766" y="462548"/>
          <a:ext cx="333557" cy="91440"/>
        </a:xfrm>
        <a:custGeom>
          <a:avLst/>
          <a:gdLst/>
          <a:ahLst/>
          <a:cxnLst/>
          <a:rect l="0" t="0" r="0" b="0"/>
          <a:pathLst>
            <a:path>
              <a:moveTo>
                <a:pt x="0" y="51658"/>
              </a:moveTo>
              <a:lnTo>
                <a:pt x="183878" y="51658"/>
              </a:lnTo>
              <a:lnTo>
                <a:pt x="183878" y="45720"/>
              </a:lnTo>
              <a:lnTo>
                <a:pt x="333557" y="45720"/>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3884439" y="506357"/>
        <a:ext cx="18210" cy="3823"/>
      </dsp:txXfrm>
    </dsp:sp>
    <dsp:sp modelId="{09A5CB03-BC47-4781-B93E-B90DDA12FC86}">
      <dsp:nvSpPr>
        <dsp:cNvPr id="0" name=""/>
        <dsp:cNvSpPr/>
      </dsp:nvSpPr>
      <dsp:spPr>
        <a:xfrm>
          <a:off x="2067794" y="10620"/>
          <a:ext cx="1660771" cy="1007175"/>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Operator wylicza wysokość wkładu własnego wymaganą dla wybranej usługi od kwoty netto (VAT jest niekwalifikowalny)</a:t>
          </a:r>
        </a:p>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2067794" y="10620"/>
        <a:ext cx="1660771" cy="1007175"/>
      </dsp:txXfrm>
    </dsp:sp>
    <dsp:sp modelId="{92310ADF-4601-426F-AB77-80FBAD1FD9E1}">
      <dsp:nvSpPr>
        <dsp:cNvPr id="0" name=""/>
        <dsp:cNvSpPr/>
      </dsp:nvSpPr>
      <dsp:spPr>
        <a:xfrm>
          <a:off x="830386" y="1004700"/>
          <a:ext cx="4092723" cy="255791"/>
        </a:xfrm>
        <a:custGeom>
          <a:avLst/>
          <a:gdLst/>
          <a:ahLst/>
          <a:cxnLst/>
          <a:rect l="0" t="0" r="0" b="0"/>
          <a:pathLst>
            <a:path>
              <a:moveTo>
                <a:pt x="4092723" y="0"/>
              </a:moveTo>
              <a:lnTo>
                <a:pt x="4092723" y="144995"/>
              </a:lnTo>
              <a:lnTo>
                <a:pt x="0" y="144995"/>
              </a:lnTo>
              <a:lnTo>
                <a:pt x="0" y="255791"/>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2774179" y="1130684"/>
        <a:ext cx="205136" cy="3823"/>
      </dsp:txXfrm>
    </dsp:sp>
    <dsp:sp modelId="{3D274FB5-6062-421B-B72A-403FA8479423}">
      <dsp:nvSpPr>
        <dsp:cNvPr id="0" name=""/>
        <dsp:cNvSpPr/>
      </dsp:nvSpPr>
      <dsp:spPr>
        <a:xfrm>
          <a:off x="4092723" y="10037"/>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Przedsiębiorca podpisuje umowę wsparcia z Operatorem. Wraz  z zawarciem umowy nadawany jest numer ID wsparcia </a:t>
          </a:r>
        </a:p>
      </dsp:txBody>
      <dsp:txXfrm>
        <a:off x="4092723" y="10037"/>
        <a:ext cx="1660771" cy="996463"/>
      </dsp:txXfrm>
    </dsp:sp>
    <dsp:sp modelId="{C86BB6C0-7D0F-4AD1-8A2D-C305114EE87C}">
      <dsp:nvSpPr>
        <dsp:cNvPr id="0" name=""/>
        <dsp:cNvSpPr/>
      </dsp:nvSpPr>
      <dsp:spPr>
        <a:xfrm>
          <a:off x="1658972" y="1745403"/>
          <a:ext cx="352656" cy="91440"/>
        </a:xfrm>
        <a:custGeom>
          <a:avLst/>
          <a:gdLst/>
          <a:ahLst/>
          <a:cxnLst/>
          <a:rect l="0" t="0" r="0" b="0"/>
          <a:pathLst>
            <a:path>
              <a:moveTo>
                <a:pt x="0" y="45720"/>
              </a:moveTo>
              <a:lnTo>
                <a:pt x="352656" y="45720"/>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1825718" y="1789212"/>
        <a:ext cx="19162" cy="3823"/>
      </dsp:txXfrm>
    </dsp:sp>
    <dsp:sp modelId="{7618503C-EC64-400B-B998-4AB681F09F99}">
      <dsp:nvSpPr>
        <dsp:cNvPr id="0" name=""/>
        <dsp:cNvSpPr/>
      </dsp:nvSpPr>
      <dsp:spPr>
        <a:xfrm>
          <a:off x="0" y="1292892"/>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Przedsiębiorca wpłaca na konto Operatora:</a:t>
          </a:r>
        </a:p>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 wkład własny</a:t>
          </a:r>
        </a:p>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 kwotę podatku VAT</a:t>
          </a:r>
        </a:p>
      </dsp:txBody>
      <dsp:txXfrm>
        <a:off x="0" y="1292892"/>
        <a:ext cx="1660771" cy="996463"/>
      </dsp:txXfrm>
    </dsp:sp>
    <dsp:sp modelId="{A7361D72-D929-4701-9B80-3CEB48BB292B}">
      <dsp:nvSpPr>
        <dsp:cNvPr id="0" name=""/>
        <dsp:cNvSpPr/>
      </dsp:nvSpPr>
      <dsp:spPr>
        <a:xfrm>
          <a:off x="3703000" y="1745403"/>
          <a:ext cx="364547" cy="91440"/>
        </a:xfrm>
        <a:custGeom>
          <a:avLst/>
          <a:gdLst/>
          <a:ahLst/>
          <a:cxnLst/>
          <a:rect l="0" t="0" r="0" b="0"/>
          <a:pathLst>
            <a:path>
              <a:moveTo>
                <a:pt x="0" y="45720"/>
              </a:moveTo>
              <a:lnTo>
                <a:pt x="199373" y="45720"/>
              </a:lnTo>
              <a:lnTo>
                <a:pt x="199373" y="45729"/>
              </a:lnTo>
              <a:lnTo>
                <a:pt x="364547" y="45729"/>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3875395" y="1789212"/>
        <a:ext cx="19757" cy="3823"/>
      </dsp:txXfrm>
    </dsp:sp>
    <dsp:sp modelId="{C8A64082-8A61-47B4-BF4F-EDA13B502ACE}">
      <dsp:nvSpPr>
        <dsp:cNvPr id="0" name=""/>
        <dsp:cNvSpPr/>
      </dsp:nvSpPr>
      <dsp:spPr>
        <a:xfrm>
          <a:off x="2044028" y="1292892"/>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Operator tworzy zapisy na koncie przedpłaconym, przypisanym do przedsiębiorcy</a:t>
          </a:r>
        </a:p>
      </dsp:txBody>
      <dsp:txXfrm>
        <a:off x="2044028" y="1292892"/>
        <a:ext cx="1660771" cy="996463"/>
      </dsp:txXfrm>
    </dsp:sp>
    <dsp:sp modelId="{8B61161B-DA10-424B-81C4-C7633520DAEF}">
      <dsp:nvSpPr>
        <dsp:cNvPr id="0" name=""/>
        <dsp:cNvSpPr/>
      </dsp:nvSpPr>
      <dsp:spPr>
        <a:xfrm>
          <a:off x="830385" y="2287565"/>
          <a:ext cx="4099948" cy="418947"/>
        </a:xfrm>
        <a:custGeom>
          <a:avLst/>
          <a:gdLst/>
          <a:ahLst/>
          <a:cxnLst/>
          <a:rect l="0" t="0" r="0" b="0"/>
          <a:pathLst>
            <a:path>
              <a:moveTo>
                <a:pt x="4099948" y="0"/>
              </a:moveTo>
              <a:lnTo>
                <a:pt x="4099948" y="226573"/>
              </a:lnTo>
              <a:lnTo>
                <a:pt x="0" y="226573"/>
              </a:lnTo>
              <a:lnTo>
                <a:pt x="0" y="418947"/>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2777246" y="2495127"/>
        <a:ext cx="206226" cy="3823"/>
      </dsp:txXfrm>
    </dsp:sp>
    <dsp:sp modelId="{DE19C9E1-9AFB-40A9-A2A4-EFC7E7B9F160}">
      <dsp:nvSpPr>
        <dsp:cNvPr id="0" name=""/>
        <dsp:cNvSpPr/>
      </dsp:nvSpPr>
      <dsp:spPr>
        <a:xfrm>
          <a:off x="4099948" y="1292902"/>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Usługi rozwojowe są realizowane na rzecz Przedsiębiorcy/ delegowanych pracowników</a:t>
          </a:r>
        </a:p>
      </dsp:txBody>
      <dsp:txXfrm>
        <a:off x="4099948" y="1292902"/>
        <a:ext cx="1660771" cy="996463"/>
      </dsp:txXfrm>
    </dsp:sp>
    <dsp:sp modelId="{C551A23C-D7A2-4C41-BAC3-5E9787ED140D}">
      <dsp:nvSpPr>
        <dsp:cNvPr id="0" name=""/>
        <dsp:cNvSpPr/>
      </dsp:nvSpPr>
      <dsp:spPr>
        <a:xfrm>
          <a:off x="1658971" y="3191424"/>
          <a:ext cx="340782" cy="91440"/>
        </a:xfrm>
        <a:custGeom>
          <a:avLst/>
          <a:gdLst/>
          <a:ahLst/>
          <a:cxnLst/>
          <a:rect l="0" t="0" r="0" b="0"/>
          <a:pathLst>
            <a:path>
              <a:moveTo>
                <a:pt x="0" y="45720"/>
              </a:moveTo>
              <a:lnTo>
                <a:pt x="340782" y="45720"/>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1820078" y="3235232"/>
        <a:ext cx="18569" cy="3823"/>
      </dsp:txXfrm>
    </dsp:sp>
    <dsp:sp modelId="{5944C7AE-CFCB-45AB-BD56-4787BC4876D5}">
      <dsp:nvSpPr>
        <dsp:cNvPr id="0" name=""/>
        <dsp:cNvSpPr/>
      </dsp:nvSpPr>
      <dsp:spPr>
        <a:xfrm>
          <a:off x="0" y="2738913"/>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Po zakończeniu usługi przedsiębiorca/ delegowani pracownicy wypełniają ankietę  w BUR</a:t>
          </a:r>
          <a:br>
            <a:rPr lang="pl-PL" sz="800" kern="1200">
              <a:solidFill>
                <a:sysClr val="windowText" lastClr="000000"/>
              </a:solidFill>
              <a:latin typeface="Century Gothic" panose="020B0502020202020204" pitchFamily="34" charset="0"/>
            </a:rPr>
          </a:br>
          <a:endParaRPr lang="pl-PL" sz="800" kern="1200">
            <a:solidFill>
              <a:sysClr val="windowText" lastClr="000000"/>
            </a:solidFill>
            <a:latin typeface="Century Gothic" panose="020B0502020202020204" pitchFamily="34" charset="0"/>
          </a:endParaRPr>
        </a:p>
      </dsp:txBody>
      <dsp:txXfrm>
        <a:off x="0" y="2738913"/>
        <a:ext cx="1660771" cy="996463"/>
      </dsp:txXfrm>
    </dsp:sp>
    <dsp:sp modelId="{BA0F062F-7FEC-435F-911F-B54805419DC1}">
      <dsp:nvSpPr>
        <dsp:cNvPr id="0" name=""/>
        <dsp:cNvSpPr/>
      </dsp:nvSpPr>
      <dsp:spPr>
        <a:xfrm>
          <a:off x="3691125" y="3191424"/>
          <a:ext cx="351377" cy="91440"/>
        </a:xfrm>
        <a:custGeom>
          <a:avLst/>
          <a:gdLst/>
          <a:ahLst/>
          <a:cxnLst/>
          <a:rect l="0" t="0" r="0" b="0"/>
          <a:pathLst>
            <a:path>
              <a:moveTo>
                <a:pt x="0" y="45720"/>
              </a:moveTo>
              <a:lnTo>
                <a:pt x="351377" y="45720"/>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3857265" y="3235232"/>
        <a:ext cx="19098" cy="3823"/>
      </dsp:txXfrm>
    </dsp:sp>
    <dsp:sp modelId="{40DD32E1-C0F3-42FE-A6C9-BB35F047543A}">
      <dsp:nvSpPr>
        <dsp:cNvPr id="0" name=""/>
        <dsp:cNvSpPr/>
      </dsp:nvSpPr>
      <dsp:spPr>
        <a:xfrm>
          <a:off x="2032153" y="2738913"/>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Podmiot realizujący usługę rozwojową wystawia fakturę dla przedsiębiorcy korzystającego z usługi</a:t>
          </a:r>
        </a:p>
      </dsp:txBody>
      <dsp:txXfrm>
        <a:off x="2032153" y="2738913"/>
        <a:ext cx="1660771" cy="996463"/>
      </dsp:txXfrm>
    </dsp:sp>
    <dsp:sp modelId="{003B4A18-09AC-4B6E-91E0-D24410C244F0}">
      <dsp:nvSpPr>
        <dsp:cNvPr id="0" name=""/>
        <dsp:cNvSpPr/>
      </dsp:nvSpPr>
      <dsp:spPr>
        <a:xfrm>
          <a:off x="830385" y="3741777"/>
          <a:ext cx="4074903" cy="415445"/>
        </a:xfrm>
        <a:custGeom>
          <a:avLst/>
          <a:gdLst/>
          <a:ahLst/>
          <a:cxnLst/>
          <a:rect l="0" t="0" r="0" b="0"/>
          <a:pathLst>
            <a:path>
              <a:moveTo>
                <a:pt x="4074903" y="0"/>
              </a:moveTo>
              <a:lnTo>
                <a:pt x="4074903" y="224822"/>
              </a:lnTo>
              <a:lnTo>
                <a:pt x="0" y="224822"/>
              </a:lnTo>
              <a:lnTo>
                <a:pt x="0" y="415445"/>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2765356" y="3947587"/>
        <a:ext cx="204962" cy="3823"/>
      </dsp:txXfrm>
    </dsp:sp>
    <dsp:sp modelId="{23746882-21A0-49C9-A00B-7AE9D54A6FA6}">
      <dsp:nvSpPr>
        <dsp:cNvPr id="0" name=""/>
        <dsp:cNvSpPr/>
      </dsp:nvSpPr>
      <dsp:spPr>
        <a:xfrm>
          <a:off x="4074903" y="2730712"/>
          <a:ext cx="1660771" cy="1012864"/>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Przedsiębiorca przekazuje Operatorowi Wniosek o rozliczenie usług rozwojowych wraz z załącznikami</a:t>
          </a:r>
          <a:br>
            <a:rPr lang="pl-PL" sz="800" kern="1200">
              <a:solidFill>
                <a:sysClr val="windowText" lastClr="000000"/>
              </a:solidFill>
              <a:latin typeface="Century Gothic" panose="020B0502020202020204" pitchFamily="34" charset="0"/>
            </a:rPr>
          </a:br>
          <a:endParaRPr lang="pl-PL" sz="800" kern="1200">
            <a:solidFill>
              <a:sysClr val="windowText" lastClr="000000"/>
            </a:solidFill>
            <a:latin typeface="Century Gothic" panose="020B0502020202020204" pitchFamily="34" charset="0"/>
          </a:endParaRPr>
        </a:p>
      </dsp:txBody>
      <dsp:txXfrm>
        <a:off x="4074903" y="2730712"/>
        <a:ext cx="1660771" cy="1012864"/>
      </dsp:txXfrm>
    </dsp:sp>
    <dsp:sp modelId="{A22C7F9E-A5DC-46CE-B0B6-460607A6074B}">
      <dsp:nvSpPr>
        <dsp:cNvPr id="0" name=""/>
        <dsp:cNvSpPr/>
      </dsp:nvSpPr>
      <dsp:spPr>
        <a:xfrm>
          <a:off x="1658971" y="4642133"/>
          <a:ext cx="334853" cy="91440"/>
        </a:xfrm>
        <a:custGeom>
          <a:avLst/>
          <a:gdLst/>
          <a:ahLst/>
          <a:cxnLst/>
          <a:rect l="0" t="0" r="0" b="0"/>
          <a:pathLst>
            <a:path>
              <a:moveTo>
                <a:pt x="0" y="45720"/>
              </a:moveTo>
              <a:lnTo>
                <a:pt x="334853" y="45720"/>
              </a:lnTo>
            </a:path>
          </a:pathLst>
        </a:custGeom>
        <a:noFill/>
        <a:ln w="6350" cap="flat" cmpd="sng" algn="ctr">
          <a:solidFill>
            <a:srgbClr val="BFD8D8"/>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pl-PL" sz="800" kern="1200">
            <a:solidFill>
              <a:sysClr val="windowText" lastClr="000000"/>
            </a:solidFill>
            <a:latin typeface="Century Gothic" panose="020B0502020202020204" pitchFamily="34" charset="0"/>
          </a:endParaRPr>
        </a:p>
      </dsp:txBody>
      <dsp:txXfrm>
        <a:off x="1817262" y="4685941"/>
        <a:ext cx="18272" cy="3823"/>
      </dsp:txXfrm>
    </dsp:sp>
    <dsp:sp modelId="{19E5F689-3F06-4B76-9823-BFC2658FBD6B}">
      <dsp:nvSpPr>
        <dsp:cNvPr id="0" name=""/>
        <dsp:cNvSpPr/>
      </dsp:nvSpPr>
      <dsp:spPr>
        <a:xfrm>
          <a:off x="0" y="4189622"/>
          <a:ext cx="1660771" cy="996463"/>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Operator weryfikuje czy dane zawarte we Wniosku o rozliczenie usług rozwojowych </a:t>
          </a:r>
          <a:r>
            <a:rPr lang="pl-PL" sz="800" b="0" kern="1200">
              <a:solidFill>
                <a:sysClr val="windowText" lastClr="000000"/>
              </a:solidFill>
              <a:latin typeface="Century Gothic" panose="020B0502020202020204" pitchFamily="34" charset="0"/>
            </a:rPr>
            <a:t>wraz z pozostałymi dokumentami rozliczeniowymi wymaganymi przy ubieganiu się o dofinansowanie </a:t>
          </a:r>
          <a:r>
            <a:rPr lang="pl-PL" sz="800" kern="1200">
              <a:solidFill>
                <a:sysClr val="windowText" lastClr="000000"/>
              </a:solidFill>
              <a:latin typeface="Century Gothic" panose="020B0502020202020204" pitchFamily="34" charset="0"/>
            </a:rPr>
            <a:t>są zgodne z zapisami dotyczącymi usług w BUR</a:t>
          </a:r>
        </a:p>
      </dsp:txBody>
      <dsp:txXfrm>
        <a:off x="0" y="4189622"/>
        <a:ext cx="1660771" cy="996463"/>
      </dsp:txXfrm>
    </dsp:sp>
    <dsp:sp modelId="{CC160B18-A2D5-4387-827F-046CE83AFEBA}">
      <dsp:nvSpPr>
        <dsp:cNvPr id="0" name=""/>
        <dsp:cNvSpPr/>
      </dsp:nvSpPr>
      <dsp:spPr>
        <a:xfrm>
          <a:off x="2026225" y="4178994"/>
          <a:ext cx="1660771" cy="1017717"/>
        </a:xfrm>
        <a:prstGeom prst="rect">
          <a:avLst/>
        </a:prstGeom>
        <a:solidFill>
          <a:srgbClr val="BFD8D8"/>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pl-PL" sz="800" kern="1200">
              <a:solidFill>
                <a:sysClr val="windowText" lastClr="000000"/>
              </a:solidFill>
              <a:latin typeface="Century Gothic" panose="020B0502020202020204" pitchFamily="34" charset="0"/>
            </a:rPr>
            <a:t>Operator dokonuje płatności na rzecz podmiotu realizującego usługę rozwojową i/lub zwraca środki</a:t>
          </a:r>
        </a:p>
      </dsp:txBody>
      <dsp:txXfrm>
        <a:off x="2026225" y="4178994"/>
        <a:ext cx="1660771" cy="1017717"/>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9751F-D540-4CAE-B627-C9190861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7750</Words>
  <Characters>46500</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54142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jacek_szut@parp.gov.pl</dc:creator>
  <cp:keywords/>
  <dc:description/>
  <cp:lastModifiedBy>Próchniak Beata</cp:lastModifiedBy>
  <cp:revision>4</cp:revision>
  <cp:lastPrinted>2019-04-16T11:30:00Z</cp:lastPrinted>
  <dcterms:created xsi:type="dcterms:W3CDTF">2019-06-21T06:01:00Z</dcterms:created>
  <dcterms:modified xsi:type="dcterms:W3CDTF">2019-06-24T12:48:00Z</dcterms:modified>
</cp:coreProperties>
</file>